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89643" w14:textId="77777777" w:rsidR="004A1D2B" w:rsidRPr="00D41F28" w:rsidRDefault="004A1D2B" w:rsidP="00FF6E3F">
      <w:pPr>
        <w:spacing w:after="120" w:line="240" w:lineRule="auto"/>
        <w:rPr>
          <w:rFonts w:ascii="Arial" w:hAnsi="Arial" w:cs="Arial"/>
          <w:b/>
          <w:sz w:val="18"/>
          <w:szCs w:val="18"/>
          <w:lang w:val="en-GB"/>
        </w:rPr>
      </w:pPr>
    </w:p>
    <w:p w14:paraId="587D3DA8" w14:textId="77777777" w:rsidR="00186036" w:rsidRPr="00D41F28" w:rsidRDefault="00186036" w:rsidP="00FF6E3F">
      <w:pPr>
        <w:spacing w:after="120" w:line="240" w:lineRule="auto"/>
        <w:rPr>
          <w:rFonts w:ascii="Arial" w:hAnsi="Arial" w:cs="Arial"/>
          <w:b/>
          <w:sz w:val="18"/>
          <w:szCs w:val="18"/>
          <w:lang w:val="en-GB"/>
        </w:rPr>
      </w:pPr>
      <w:r w:rsidRPr="00D41F28">
        <w:rPr>
          <w:rFonts w:ascii="Arial" w:hAnsi="Arial" w:cs="Arial"/>
          <w:b/>
          <w:sz w:val="18"/>
          <w:szCs w:val="18"/>
          <w:lang w:val="en-GB"/>
        </w:rPr>
        <w:t>N</w:t>
      </w:r>
      <w:r w:rsidR="00885018" w:rsidRPr="00D41F28">
        <w:rPr>
          <w:rFonts w:ascii="Arial" w:hAnsi="Arial" w:cs="Arial"/>
          <w:b/>
          <w:sz w:val="18"/>
          <w:szCs w:val="18"/>
          <w:lang w:val="en-GB"/>
        </w:rPr>
        <w:t>OT FOR RELEASE, PUBLICATION OR DISTRIBUTION IN ANY JURISDICTION WHERE TO DO SO WOULD CONSTITUTE A VIOLATION OF THE RELEVANT LAWS OF SUCH JURISDICTION</w:t>
      </w:r>
    </w:p>
    <w:p w14:paraId="344E5F63" w14:textId="77777777" w:rsidR="004A1D2B" w:rsidRPr="00D41F28" w:rsidRDefault="004A1D2B" w:rsidP="00192DBD">
      <w:pPr>
        <w:spacing w:after="120" w:line="264" w:lineRule="auto"/>
        <w:rPr>
          <w:rFonts w:ascii="Arial" w:hAnsi="Arial" w:cs="Arial"/>
          <w:b/>
          <w:sz w:val="18"/>
          <w:szCs w:val="18"/>
          <w:lang w:val="en-GB"/>
        </w:rPr>
      </w:pPr>
    </w:p>
    <w:p w14:paraId="57B349B8" w14:textId="77777777" w:rsidR="00186036" w:rsidRPr="00D41F28" w:rsidRDefault="00731547" w:rsidP="00192DBD">
      <w:pPr>
        <w:spacing w:after="120" w:line="264" w:lineRule="auto"/>
        <w:rPr>
          <w:rFonts w:ascii="Arial" w:hAnsi="Arial" w:cs="Arial"/>
          <w:b/>
          <w:sz w:val="18"/>
          <w:szCs w:val="18"/>
          <w:lang w:val="en-GB"/>
        </w:rPr>
      </w:pPr>
      <w:r w:rsidRPr="00D41F28">
        <w:rPr>
          <w:rFonts w:ascii="Arial" w:hAnsi="Arial" w:cs="Arial"/>
          <w:b/>
          <w:sz w:val="18"/>
          <w:szCs w:val="18"/>
          <w:lang w:val="en-GB"/>
        </w:rPr>
        <w:t>For Immediate Release</w:t>
      </w:r>
    </w:p>
    <w:p w14:paraId="3DAE15CF" w14:textId="77777777" w:rsidR="004A1D2B" w:rsidRPr="00D41F28" w:rsidRDefault="004A1D2B" w:rsidP="00C41735">
      <w:pPr>
        <w:spacing w:after="120" w:line="264" w:lineRule="auto"/>
        <w:rPr>
          <w:rFonts w:ascii="Arial" w:hAnsi="Arial" w:cs="Arial"/>
          <w:b/>
          <w:sz w:val="18"/>
          <w:szCs w:val="18"/>
          <w:lang w:val="en-GB"/>
        </w:rPr>
      </w:pPr>
    </w:p>
    <w:p w14:paraId="14200312" w14:textId="77777777" w:rsidR="00E132C8" w:rsidRPr="00D41F28" w:rsidRDefault="004D01BA" w:rsidP="00192DBD">
      <w:pPr>
        <w:spacing w:after="120" w:line="264" w:lineRule="auto"/>
        <w:jc w:val="center"/>
        <w:rPr>
          <w:rFonts w:ascii="Arial" w:hAnsi="Arial" w:cs="Arial"/>
          <w:b/>
          <w:sz w:val="18"/>
          <w:szCs w:val="18"/>
          <w:lang w:val="en-GB"/>
        </w:rPr>
      </w:pPr>
      <w:r w:rsidRPr="00D41F28">
        <w:rPr>
          <w:rFonts w:ascii="Arial" w:hAnsi="Arial" w:cs="Arial"/>
          <w:b/>
          <w:sz w:val="18"/>
          <w:szCs w:val="18"/>
          <w:lang w:val="en-GB"/>
        </w:rPr>
        <w:t xml:space="preserve">GREENCORE </w:t>
      </w:r>
      <w:r w:rsidR="00047E24" w:rsidRPr="00D41F28">
        <w:rPr>
          <w:rFonts w:ascii="Arial" w:hAnsi="Arial" w:cs="Arial"/>
          <w:b/>
          <w:sz w:val="18"/>
          <w:szCs w:val="18"/>
          <w:lang w:val="en-GB"/>
        </w:rPr>
        <w:t>GROUP PLC</w:t>
      </w:r>
    </w:p>
    <w:p w14:paraId="185C72EF" w14:textId="0D5630F5" w:rsidR="004A1D2B" w:rsidRPr="00D41F28" w:rsidRDefault="00C44281" w:rsidP="00C41735">
      <w:pPr>
        <w:spacing w:after="120" w:line="264" w:lineRule="auto"/>
        <w:jc w:val="center"/>
        <w:rPr>
          <w:rFonts w:ascii="Arial" w:hAnsi="Arial" w:cs="Arial"/>
          <w:b/>
          <w:sz w:val="18"/>
          <w:szCs w:val="18"/>
          <w:lang w:val="en-GB"/>
        </w:rPr>
      </w:pPr>
      <w:bookmarkStart w:id="0" w:name="_GoBack"/>
      <w:r w:rsidRPr="00D41F28">
        <w:rPr>
          <w:rFonts w:ascii="Arial" w:hAnsi="Arial" w:cs="Arial"/>
          <w:b/>
          <w:sz w:val="18"/>
          <w:szCs w:val="18"/>
          <w:lang w:val="en-GB"/>
        </w:rPr>
        <w:t>Publication of Circular</w:t>
      </w:r>
    </w:p>
    <w:bookmarkEnd w:id="0"/>
    <w:p w14:paraId="3EA0D0D0" w14:textId="77777777" w:rsidR="00C41735" w:rsidRPr="00D41F28" w:rsidRDefault="00C41735" w:rsidP="00C41735">
      <w:pPr>
        <w:spacing w:after="120" w:line="264" w:lineRule="auto"/>
        <w:jc w:val="center"/>
        <w:rPr>
          <w:rFonts w:ascii="Arial" w:hAnsi="Arial" w:cs="Arial"/>
          <w:b/>
          <w:sz w:val="18"/>
          <w:szCs w:val="18"/>
          <w:lang w:val="en-GB"/>
        </w:rPr>
      </w:pPr>
    </w:p>
    <w:p w14:paraId="64B878E8" w14:textId="4F5A04E6" w:rsidR="00047E24" w:rsidRPr="00D41F28" w:rsidRDefault="007838B5" w:rsidP="00047E24">
      <w:pPr>
        <w:spacing w:after="120" w:line="264" w:lineRule="auto"/>
        <w:rPr>
          <w:rFonts w:ascii="Arial" w:hAnsi="Arial" w:cs="Arial"/>
          <w:b/>
          <w:color w:val="000000" w:themeColor="text1"/>
          <w:sz w:val="18"/>
          <w:szCs w:val="18"/>
          <w:lang w:val="en-GB"/>
        </w:rPr>
      </w:pPr>
      <w:r w:rsidRPr="00321F5D">
        <w:rPr>
          <w:rFonts w:ascii="Arial" w:hAnsi="Arial" w:cs="Arial"/>
          <w:b/>
          <w:color w:val="000000" w:themeColor="text1"/>
          <w:sz w:val="18"/>
          <w:szCs w:val="18"/>
          <w:lang w:val="en-GB"/>
        </w:rPr>
        <w:t>20 December 2018</w:t>
      </w:r>
    </w:p>
    <w:p w14:paraId="70C3807D" w14:textId="4F9E9923" w:rsidR="00C41735" w:rsidRPr="00D41F28" w:rsidRDefault="00C44281" w:rsidP="00C41735">
      <w:pPr>
        <w:spacing w:after="120" w:line="264" w:lineRule="auto"/>
        <w:jc w:val="both"/>
        <w:rPr>
          <w:rFonts w:ascii="Arial" w:hAnsi="Arial" w:cs="Arial"/>
          <w:sz w:val="18"/>
          <w:szCs w:val="18"/>
          <w:lang w:val="en-GB"/>
        </w:rPr>
      </w:pPr>
      <w:r w:rsidRPr="00D41F28">
        <w:rPr>
          <w:rFonts w:ascii="Arial" w:hAnsi="Arial" w:cs="Arial"/>
          <w:sz w:val="18"/>
          <w:szCs w:val="18"/>
          <w:lang w:val="en-GB"/>
        </w:rPr>
        <w:t xml:space="preserve">Further to the announcement earlier today by </w:t>
      </w:r>
      <w:r w:rsidR="004D01BA" w:rsidRPr="00D41F28">
        <w:rPr>
          <w:rFonts w:ascii="Arial" w:hAnsi="Arial" w:cs="Arial"/>
          <w:sz w:val="18"/>
          <w:szCs w:val="18"/>
          <w:lang w:val="en-GB"/>
        </w:rPr>
        <w:t>Greencore</w:t>
      </w:r>
      <w:r w:rsidR="00E132C8" w:rsidRPr="00D41F28">
        <w:rPr>
          <w:rFonts w:ascii="Arial" w:hAnsi="Arial" w:cs="Arial"/>
          <w:sz w:val="18"/>
          <w:szCs w:val="18"/>
          <w:lang w:val="en-GB"/>
        </w:rPr>
        <w:t xml:space="preserve"> </w:t>
      </w:r>
      <w:r w:rsidR="00047E24" w:rsidRPr="00D41F28">
        <w:rPr>
          <w:rFonts w:ascii="Arial" w:hAnsi="Arial" w:cs="Arial"/>
          <w:sz w:val="18"/>
          <w:szCs w:val="18"/>
          <w:lang w:val="en-GB"/>
        </w:rPr>
        <w:t xml:space="preserve">Group </w:t>
      </w:r>
      <w:r w:rsidR="00E132C8" w:rsidRPr="00D41F28">
        <w:rPr>
          <w:rFonts w:ascii="Arial" w:hAnsi="Arial" w:cs="Arial"/>
          <w:sz w:val="18"/>
          <w:szCs w:val="18"/>
          <w:lang w:val="en-GB"/>
        </w:rPr>
        <w:t>plc</w:t>
      </w:r>
      <w:r w:rsidR="00780968" w:rsidRPr="00D41F28">
        <w:rPr>
          <w:rFonts w:ascii="Arial" w:hAnsi="Arial" w:cs="Arial"/>
          <w:sz w:val="18"/>
          <w:szCs w:val="18"/>
          <w:lang w:val="en-GB"/>
        </w:rPr>
        <w:t xml:space="preserve"> (“</w:t>
      </w:r>
      <w:r w:rsidR="00780968" w:rsidRPr="00D41F28">
        <w:rPr>
          <w:rFonts w:ascii="Arial" w:hAnsi="Arial" w:cs="Arial"/>
          <w:b/>
          <w:sz w:val="18"/>
          <w:szCs w:val="18"/>
          <w:lang w:val="en-GB"/>
        </w:rPr>
        <w:t>Greencore</w:t>
      </w:r>
      <w:r w:rsidR="00780968" w:rsidRPr="00D41F28">
        <w:rPr>
          <w:rFonts w:ascii="Arial" w:hAnsi="Arial" w:cs="Arial"/>
          <w:sz w:val="18"/>
          <w:szCs w:val="18"/>
          <w:lang w:val="en-GB"/>
        </w:rPr>
        <w:t>” or the “</w:t>
      </w:r>
      <w:r w:rsidR="00780968" w:rsidRPr="00D41F28">
        <w:rPr>
          <w:rFonts w:ascii="Arial" w:hAnsi="Arial" w:cs="Arial"/>
          <w:b/>
          <w:sz w:val="18"/>
          <w:szCs w:val="18"/>
          <w:lang w:val="en-GB"/>
        </w:rPr>
        <w:t>Group</w:t>
      </w:r>
      <w:r w:rsidR="00780968" w:rsidRPr="00D41F28">
        <w:rPr>
          <w:rFonts w:ascii="Arial" w:hAnsi="Arial" w:cs="Arial"/>
          <w:sz w:val="18"/>
          <w:szCs w:val="18"/>
          <w:lang w:val="en-GB"/>
        </w:rPr>
        <w:t>”)</w:t>
      </w:r>
      <w:r w:rsidR="007838B5" w:rsidRPr="00D41F28">
        <w:rPr>
          <w:rFonts w:ascii="Arial" w:hAnsi="Arial" w:cs="Arial"/>
          <w:sz w:val="18"/>
          <w:szCs w:val="18"/>
          <w:lang w:val="en-GB"/>
        </w:rPr>
        <w:t xml:space="preserve"> </w:t>
      </w:r>
      <w:r w:rsidR="002A08D2" w:rsidRPr="00D41F28">
        <w:rPr>
          <w:rFonts w:ascii="Arial" w:hAnsi="Arial" w:cs="Arial"/>
          <w:sz w:val="18"/>
          <w:szCs w:val="18"/>
          <w:lang w:val="en-GB"/>
        </w:rPr>
        <w:t>setting out further details of the tender offer of up to approximately £509</w:t>
      </w:r>
      <w:r w:rsidR="00BC59D6">
        <w:rPr>
          <w:rFonts w:ascii="Arial" w:hAnsi="Arial" w:cs="Arial"/>
          <w:sz w:val="18"/>
          <w:szCs w:val="18"/>
          <w:lang w:val="en-GB"/>
        </w:rPr>
        <w:t xml:space="preserve"> </w:t>
      </w:r>
      <w:r w:rsidR="002A08D2" w:rsidRPr="00D41F28">
        <w:rPr>
          <w:rFonts w:ascii="Arial" w:hAnsi="Arial" w:cs="Arial"/>
          <w:sz w:val="18"/>
          <w:szCs w:val="18"/>
          <w:lang w:val="en-GB"/>
        </w:rPr>
        <w:t>m</w:t>
      </w:r>
      <w:r w:rsidR="00BC59D6">
        <w:rPr>
          <w:rFonts w:ascii="Arial" w:hAnsi="Arial" w:cs="Arial"/>
          <w:sz w:val="18"/>
          <w:szCs w:val="18"/>
          <w:lang w:val="en-GB"/>
        </w:rPr>
        <w:t>illion</w:t>
      </w:r>
      <w:r w:rsidR="002A08D2" w:rsidRPr="00D41F28">
        <w:rPr>
          <w:rFonts w:ascii="Arial" w:hAnsi="Arial" w:cs="Arial"/>
          <w:sz w:val="18"/>
          <w:szCs w:val="18"/>
          <w:lang w:val="en-GB"/>
        </w:rPr>
        <w:t xml:space="preserve"> (the “</w:t>
      </w:r>
      <w:r w:rsidR="002A08D2" w:rsidRPr="00D41F28">
        <w:rPr>
          <w:rFonts w:ascii="Arial" w:hAnsi="Arial" w:cs="Arial"/>
          <w:b/>
          <w:sz w:val="18"/>
          <w:szCs w:val="18"/>
          <w:lang w:val="en-GB"/>
        </w:rPr>
        <w:t>Tender Offer</w:t>
      </w:r>
      <w:r w:rsidR="002A08D2" w:rsidRPr="00D41F28">
        <w:rPr>
          <w:rFonts w:ascii="Arial" w:hAnsi="Arial" w:cs="Arial"/>
          <w:sz w:val="18"/>
          <w:szCs w:val="18"/>
          <w:lang w:val="en-GB"/>
        </w:rPr>
        <w:t>”)</w:t>
      </w:r>
      <w:r w:rsidR="007838B5" w:rsidRPr="00D41F28">
        <w:rPr>
          <w:rFonts w:ascii="Arial" w:hAnsi="Arial" w:cs="Arial"/>
          <w:sz w:val="18"/>
          <w:szCs w:val="18"/>
          <w:lang w:val="en-GB"/>
        </w:rPr>
        <w:t>,</w:t>
      </w:r>
      <w:r w:rsidR="00780968" w:rsidRPr="00D41F28">
        <w:rPr>
          <w:rFonts w:ascii="Arial" w:hAnsi="Arial" w:cs="Arial"/>
          <w:sz w:val="18"/>
          <w:szCs w:val="18"/>
          <w:lang w:val="en-GB"/>
        </w:rPr>
        <w:t xml:space="preserve"> Greencore</w:t>
      </w:r>
      <w:r w:rsidR="004A1D2B" w:rsidRPr="00D41F28">
        <w:rPr>
          <w:rFonts w:ascii="Arial" w:hAnsi="Arial" w:cs="Arial"/>
          <w:sz w:val="18"/>
          <w:szCs w:val="18"/>
          <w:lang w:val="en-GB"/>
        </w:rPr>
        <w:t xml:space="preserve"> now</w:t>
      </w:r>
      <w:r w:rsidR="00780968" w:rsidRPr="00D41F28">
        <w:rPr>
          <w:rFonts w:ascii="Arial" w:hAnsi="Arial" w:cs="Arial"/>
          <w:sz w:val="18"/>
          <w:szCs w:val="18"/>
          <w:lang w:val="en-GB"/>
        </w:rPr>
        <w:t xml:space="preserve"> announces that the </w:t>
      </w:r>
      <w:r w:rsidR="00A95AE8" w:rsidRPr="00D41F28">
        <w:rPr>
          <w:rFonts w:ascii="Arial" w:hAnsi="Arial" w:cs="Arial"/>
          <w:sz w:val="18"/>
          <w:szCs w:val="18"/>
          <w:lang w:val="en-GB"/>
        </w:rPr>
        <w:t>circular to shareholders in connection with the</w:t>
      </w:r>
      <w:r w:rsidR="007838B5" w:rsidRPr="00D41F28">
        <w:rPr>
          <w:rFonts w:ascii="Arial" w:hAnsi="Arial" w:cs="Arial"/>
          <w:sz w:val="18"/>
          <w:szCs w:val="18"/>
          <w:lang w:val="en-GB"/>
        </w:rPr>
        <w:t xml:space="preserve"> </w:t>
      </w:r>
      <w:r w:rsidR="004A1D2B" w:rsidRPr="00D41F28">
        <w:rPr>
          <w:rFonts w:ascii="Arial" w:hAnsi="Arial" w:cs="Arial"/>
          <w:sz w:val="18"/>
          <w:szCs w:val="18"/>
          <w:lang w:val="en-GB"/>
        </w:rPr>
        <w:t xml:space="preserve">Tender Offer, </w:t>
      </w:r>
      <w:r w:rsidR="007838B5" w:rsidRPr="00D41F28">
        <w:rPr>
          <w:rFonts w:ascii="Arial" w:hAnsi="Arial" w:cs="Arial"/>
          <w:sz w:val="18"/>
          <w:szCs w:val="18"/>
          <w:lang w:val="en-GB"/>
        </w:rPr>
        <w:t xml:space="preserve">which also includes notice of Greencore’s Annual General Meeting </w:t>
      </w:r>
      <w:r w:rsidR="00A95AE8" w:rsidRPr="00D41F28">
        <w:rPr>
          <w:rFonts w:ascii="Arial" w:hAnsi="Arial" w:cs="Arial"/>
          <w:sz w:val="18"/>
          <w:szCs w:val="18"/>
          <w:lang w:val="en-GB"/>
        </w:rPr>
        <w:t>(the “</w:t>
      </w:r>
      <w:r w:rsidR="00A95AE8" w:rsidRPr="00D41F28">
        <w:rPr>
          <w:rFonts w:ascii="Arial" w:hAnsi="Arial" w:cs="Arial"/>
          <w:b/>
          <w:sz w:val="18"/>
          <w:szCs w:val="18"/>
          <w:lang w:val="en-GB"/>
        </w:rPr>
        <w:t>Circular</w:t>
      </w:r>
      <w:r w:rsidR="00A95AE8" w:rsidRPr="00D41F28">
        <w:rPr>
          <w:rFonts w:ascii="Arial" w:hAnsi="Arial" w:cs="Arial"/>
          <w:sz w:val="18"/>
          <w:szCs w:val="18"/>
          <w:lang w:val="en-GB"/>
        </w:rPr>
        <w:t xml:space="preserve">”) </w:t>
      </w:r>
      <w:r w:rsidR="00780968" w:rsidRPr="00D41F28">
        <w:rPr>
          <w:rFonts w:ascii="Arial" w:hAnsi="Arial" w:cs="Arial"/>
          <w:sz w:val="18"/>
          <w:szCs w:val="18"/>
          <w:lang w:val="en-GB"/>
        </w:rPr>
        <w:t xml:space="preserve">has been approved by the </w:t>
      </w:r>
      <w:r w:rsidR="00061CBF">
        <w:rPr>
          <w:rFonts w:ascii="Arial" w:hAnsi="Arial" w:cs="Arial"/>
          <w:sz w:val="18"/>
          <w:szCs w:val="18"/>
          <w:lang w:val="en-GB"/>
        </w:rPr>
        <w:t>FCA</w:t>
      </w:r>
      <w:r w:rsidR="00780968" w:rsidRPr="00D41F28">
        <w:rPr>
          <w:rFonts w:ascii="Arial" w:hAnsi="Arial" w:cs="Arial"/>
          <w:sz w:val="18"/>
          <w:szCs w:val="18"/>
          <w:lang w:val="en-GB"/>
        </w:rPr>
        <w:t xml:space="preserve"> and will shortly be submitted to the National Storage Mechanism,</w:t>
      </w:r>
      <w:r w:rsidR="004A1D2B" w:rsidRPr="00D41F28">
        <w:rPr>
          <w:rFonts w:ascii="Arial" w:hAnsi="Arial" w:cs="Arial"/>
          <w:sz w:val="18"/>
          <w:szCs w:val="18"/>
          <w:lang w:val="en-GB"/>
        </w:rPr>
        <w:t xml:space="preserve"> along with the Tender Form and the Form of Proxy in respect of the Annual General Meeting</w:t>
      </w:r>
      <w:r w:rsidR="00C41735" w:rsidRPr="00D41F28">
        <w:rPr>
          <w:rFonts w:ascii="Arial" w:hAnsi="Arial" w:cs="Arial"/>
          <w:sz w:val="18"/>
          <w:szCs w:val="18"/>
          <w:lang w:val="en-GB"/>
        </w:rPr>
        <w:t xml:space="preserve">.  </w:t>
      </w:r>
    </w:p>
    <w:p w14:paraId="6516AE22" w14:textId="77777777" w:rsidR="00E06DD3" w:rsidRDefault="00C41735" w:rsidP="00C41735">
      <w:pPr>
        <w:spacing w:after="120" w:line="264" w:lineRule="auto"/>
        <w:jc w:val="both"/>
        <w:rPr>
          <w:rFonts w:ascii="Arial" w:hAnsi="Arial" w:cs="Arial"/>
          <w:sz w:val="18"/>
          <w:szCs w:val="18"/>
          <w:lang w:val="en-GB"/>
        </w:rPr>
      </w:pPr>
      <w:r w:rsidRPr="00D41F28">
        <w:rPr>
          <w:rFonts w:ascii="Arial" w:hAnsi="Arial" w:cs="Arial"/>
          <w:sz w:val="18"/>
          <w:szCs w:val="18"/>
          <w:lang w:val="en-GB"/>
        </w:rPr>
        <w:t xml:space="preserve">The Circular, the Tender Form and the Form of Proxy </w:t>
      </w:r>
      <w:r w:rsidR="00780968" w:rsidRPr="00D41F28">
        <w:rPr>
          <w:rFonts w:ascii="Arial" w:hAnsi="Arial" w:cs="Arial"/>
          <w:sz w:val="18"/>
          <w:szCs w:val="18"/>
          <w:lang w:val="en-GB"/>
        </w:rPr>
        <w:t xml:space="preserve">will be available for inspection at </w:t>
      </w:r>
      <w:hyperlink r:id="rId8" w:history="1">
        <w:r w:rsidRPr="00D41F28">
          <w:rPr>
            <w:rFonts w:ascii="Arial" w:hAnsi="Arial" w:cs="Arial"/>
            <w:sz w:val="18"/>
            <w:szCs w:val="18"/>
            <w:lang w:val="en-GB"/>
          </w:rPr>
          <w:t>www.morningstar.co.uk/uk/NSM</w:t>
        </w:r>
      </w:hyperlink>
      <w:r w:rsidRPr="00D41F28">
        <w:rPr>
          <w:rFonts w:ascii="Arial" w:hAnsi="Arial" w:cs="Arial"/>
          <w:sz w:val="18"/>
          <w:szCs w:val="18"/>
          <w:lang w:val="en-GB"/>
        </w:rPr>
        <w:t xml:space="preserve"> and</w:t>
      </w:r>
      <w:r w:rsidR="004A1D2B" w:rsidRPr="00D41F28">
        <w:rPr>
          <w:rFonts w:ascii="Arial" w:hAnsi="Arial" w:cs="Arial"/>
          <w:sz w:val="18"/>
          <w:szCs w:val="18"/>
          <w:lang w:val="en-GB"/>
        </w:rPr>
        <w:t xml:space="preserve"> </w:t>
      </w:r>
      <w:r w:rsidR="00780968" w:rsidRPr="00D41F28">
        <w:rPr>
          <w:rFonts w:ascii="Arial" w:hAnsi="Arial" w:cs="Arial"/>
          <w:sz w:val="18"/>
          <w:szCs w:val="18"/>
          <w:lang w:val="en-GB"/>
        </w:rPr>
        <w:t xml:space="preserve">will also be available on the Greencore website: </w:t>
      </w:r>
      <w:hyperlink r:id="rId9" w:history="1">
        <w:r w:rsidR="00780968" w:rsidRPr="00D41F28">
          <w:rPr>
            <w:rFonts w:ascii="Arial" w:hAnsi="Arial" w:cs="Arial"/>
            <w:sz w:val="18"/>
            <w:szCs w:val="18"/>
            <w:lang w:val="en-GB"/>
          </w:rPr>
          <w:t>www.greencore.com</w:t>
        </w:r>
      </w:hyperlink>
      <w:r w:rsidR="00780968" w:rsidRPr="00D41F28">
        <w:rPr>
          <w:rFonts w:ascii="Arial" w:hAnsi="Arial" w:cs="Arial"/>
          <w:sz w:val="18"/>
          <w:szCs w:val="18"/>
          <w:lang w:val="en-GB"/>
        </w:rPr>
        <w:t>.</w:t>
      </w:r>
    </w:p>
    <w:p w14:paraId="33161A67" w14:textId="5C8A2923" w:rsidR="004A1D2B" w:rsidRPr="00D41F28" w:rsidRDefault="00E06DD3" w:rsidP="00C41735">
      <w:pPr>
        <w:spacing w:after="120" w:line="264" w:lineRule="auto"/>
        <w:jc w:val="both"/>
        <w:rPr>
          <w:rFonts w:ascii="Arial" w:hAnsi="Arial" w:cs="Arial"/>
          <w:sz w:val="18"/>
          <w:szCs w:val="18"/>
          <w:lang w:val="en-GB"/>
        </w:rPr>
      </w:pPr>
      <w:r>
        <w:rPr>
          <w:rFonts w:ascii="Arial" w:hAnsi="Arial" w:cs="Arial"/>
          <w:sz w:val="18"/>
          <w:szCs w:val="18"/>
          <w:lang w:val="en-GB"/>
        </w:rPr>
        <w:t>As noted in today’s earlier announcement and in the Circular, the implementation of the Tender Offer requires Shareholder approval at the Annual General Meeting. Greencore confirm</w:t>
      </w:r>
      <w:r w:rsidR="00006336">
        <w:rPr>
          <w:rFonts w:ascii="Arial" w:hAnsi="Arial" w:cs="Arial"/>
          <w:sz w:val="18"/>
          <w:szCs w:val="18"/>
          <w:lang w:val="en-GB"/>
        </w:rPr>
        <w:t>s</w:t>
      </w:r>
      <w:r>
        <w:rPr>
          <w:rFonts w:ascii="Arial" w:hAnsi="Arial" w:cs="Arial"/>
          <w:sz w:val="18"/>
          <w:szCs w:val="18"/>
          <w:lang w:val="en-GB"/>
        </w:rPr>
        <w:t xml:space="preserve"> that, as set out in the Notice of </w:t>
      </w:r>
      <w:r w:rsidR="00E40325">
        <w:rPr>
          <w:rFonts w:ascii="Arial" w:hAnsi="Arial" w:cs="Arial"/>
          <w:sz w:val="18"/>
          <w:szCs w:val="18"/>
          <w:lang w:val="en-GB"/>
        </w:rPr>
        <w:t xml:space="preserve">Annual </w:t>
      </w:r>
      <w:r>
        <w:rPr>
          <w:rFonts w:ascii="Arial" w:hAnsi="Arial" w:cs="Arial"/>
          <w:sz w:val="18"/>
          <w:szCs w:val="18"/>
          <w:lang w:val="en-GB"/>
        </w:rPr>
        <w:t>General Meeting and</w:t>
      </w:r>
      <w:r w:rsidR="00E40325">
        <w:rPr>
          <w:rFonts w:ascii="Arial" w:hAnsi="Arial" w:cs="Arial"/>
          <w:sz w:val="18"/>
          <w:szCs w:val="18"/>
          <w:lang w:val="en-GB"/>
        </w:rPr>
        <w:t xml:space="preserve"> in</w:t>
      </w:r>
      <w:r>
        <w:rPr>
          <w:rFonts w:ascii="Arial" w:hAnsi="Arial" w:cs="Arial"/>
          <w:sz w:val="18"/>
          <w:szCs w:val="18"/>
          <w:lang w:val="en-GB"/>
        </w:rPr>
        <w:t xml:space="preserve"> the Circular, the Tender Offer Resolution (being resolution number 7 in the Notice of Annual General Meeting) will be proposed as a special resolution and as such requires the approval of not less than 75% of the votes cast (whether in person or by proxy) at the Annual General Meeting.</w:t>
      </w:r>
    </w:p>
    <w:p w14:paraId="4509DA50" w14:textId="3F6C03D4" w:rsidR="00780968" w:rsidRPr="00D41F28" w:rsidRDefault="00780968" w:rsidP="00C41735">
      <w:pPr>
        <w:spacing w:after="120" w:line="264" w:lineRule="auto"/>
        <w:jc w:val="both"/>
        <w:rPr>
          <w:rFonts w:ascii="Arial" w:hAnsi="Arial" w:cs="Arial"/>
          <w:sz w:val="18"/>
          <w:szCs w:val="18"/>
          <w:lang w:val="en-GB"/>
        </w:rPr>
      </w:pPr>
      <w:r w:rsidRPr="00D41F28">
        <w:rPr>
          <w:rFonts w:ascii="Arial" w:hAnsi="Arial" w:cs="Arial"/>
          <w:sz w:val="18"/>
          <w:szCs w:val="18"/>
          <w:lang w:val="en-GB"/>
        </w:rPr>
        <w:t xml:space="preserve">The defined terms set out in Appendix II of this morning’s </w:t>
      </w:r>
      <w:r w:rsidR="00FF5B0C" w:rsidRPr="00D41F28">
        <w:rPr>
          <w:rFonts w:ascii="Arial" w:hAnsi="Arial" w:cs="Arial"/>
          <w:sz w:val="18"/>
          <w:szCs w:val="18"/>
          <w:lang w:val="en-GB"/>
        </w:rPr>
        <w:t>a</w:t>
      </w:r>
      <w:r w:rsidRPr="00D41F28">
        <w:rPr>
          <w:rFonts w:ascii="Arial" w:hAnsi="Arial" w:cs="Arial"/>
          <w:sz w:val="18"/>
          <w:szCs w:val="18"/>
          <w:lang w:val="en-GB"/>
        </w:rPr>
        <w:t>nnouncement have the same meaning herein</w:t>
      </w:r>
      <w:r w:rsidR="00B65A4E">
        <w:rPr>
          <w:rFonts w:ascii="Arial" w:hAnsi="Arial" w:cs="Arial"/>
          <w:sz w:val="18"/>
          <w:szCs w:val="18"/>
          <w:lang w:val="en-GB"/>
        </w:rPr>
        <w:t>, unless the context requires otherwise</w:t>
      </w:r>
      <w:r w:rsidRPr="00D41F28">
        <w:rPr>
          <w:rFonts w:ascii="Arial" w:hAnsi="Arial" w:cs="Arial"/>
          <w:sz w:val="18"/>
          <w:szCs w:val="18"/>
          <w:lang w:val="en-GB"/>
        </w:rPr>
        <w:t xml:space="preserve">.  </w:t>
      </w:r>
    </w:p>
    <w:p w14:paraId="2608F62C" w14:textId="77777777" w:rsidR="00780968" w:rsidRPr="00D41F28" w:rsidRDefault="00780968" w:rsidP="00780968">
      <w:pPr>
        <w:spacing w:after="80" w:line="264" w:lineRule="auto"/>
        <w:jc w:val="both"/>
        <w:rPr>
          <w:rFonts w:ascii="Arial" w:hAnsi="Arial" w:cs="Arial"/>
          <w:sz w:val="18"/>
          <w:szCs w:val="18"/>
          <w:lang w:val="en-GB"/>
        </w:rPr>
      </w:pPr>
    </w:p>
    <w:p w14:paraId="4E6E7679" w14:textId="77777777" w:rsidR="004A1D2B" w:rsidRPr="00D41F28" w:rsidRDefault="004A1D2B" w:rsidP="004A1D2B">
      <w:pPr>
        <w:spacing w:after="120" w:line="264" w:lineRule="auto"/>
        <w:rPr>
          <w:rFonts w:ascii="Arial" w:hAnsi="Arial" w:cs="Arial"/>
          <w:b/>
          <w:caps/>
          <w:sz w:val="18"/>
          <w:szCs w:val="18"/>
          <w:lang w:val="en-GB"/>
        </w:rPr>
      </w:pPr>
      <w:bookmarkStart w:id="1" w:name="_Toc523756839"/>
      <w:bookmarkStart w:id="2" w:name="_Toc523757354"/>
      <w:bookmarkStart w:id="3" w:name="_Toc523758092"/>
      <w:bookmarkStart w:id="4" w:name="_Toc523759780"/>
      <w:bookmarkStart w:id="5" w:name="_Toc523759894"/>
      <w:r w:rsidRPr="00D41F28">
        <w:rPr>
          <w:rFonts w:ascii="Arial" w:hAnsi="Arial" w:cs="Arial"/>
          <w:b/>
          <w:caps/>
          <w:sz w:val="18"/>
          <w:szCs w:val="18"/>
          <w:lang w:val="en-GB"/>
        </w:rPr>
        <w:t>Enquiries</w:t>
      </w:r>
    </w:p>
    <w:p w14:paraId="7EC3E88E" w14:textId="77777777" w:rsidR="004A1D2B" w:rsidRPr="00D41F28" w:rsidRDefault="004A1D2B" w:rsidP="004A1D2B">
      <w:pPr>
        <w:spacing w:after="60" w:line="264" w:lineRule="auto"/>
        <w:rPr>
          <w:rFonts w:ascii="Arial" w:hAnsi="Arial" w:cs="Arial"/>
          <w:b/>
          <w:sz w:val="18"/>
          <w:szCs w:val="18"/>
          <w:lang w:val="en-GB"/>
        </w:rPr>
      </w:pPr>
      <w:r w:rsidRPr="00D41F28">
        <w:rPr>
          <w:rFonts w:ascii="Arial" w:hAnsi="Arial" w:cs="Arial"/>
          <w:b/>
          <w:sz w:val="18"/>
          <w:szCs w:val="18"/>
          <w:lang w:val="en-GB"/>
        </w:rPr>
        <w:t>Greencore</w:t>
      </w:r>
    </w:p>
    <w:p w14:paraId="3CBD7F4E" w14:textId="77777777" w:rsidR="004A1D2B" w:rsidRPr="00D41F28" w:rsidRDefault="004A1D2B" w:rsidP="004A1D2B">
      <w:pPr>
        <w:tabs>
          <w:tab w:val="right" w:pos="9638"/>
        </w:tabs>
        <w:spacing w:after="60" w:line="264" w:lineRule="auto"/>
        <w:rPr>
          <w:rFonts w:ascii="Arial" w:hAnsi="Arial" w:cs="Arial"/>
          <w:sz w:val="18"/>
          <w:szCs w:val="18"/>
          <w:lang w:val="en-GB"/>
        </w:rPr>
      </w:pPr>
      <w:r w:rsidRPr="00D41F28">
        <w:rPr>
          <w:rFonts w:ascii="Arial" w:hAnsi="Arial" w:cs="Arial"/>
          <w:sz w:val="18"/>
          <w:szCs w:val="18"/>
          <w:lang w:val="en-GB"/>
        </w:rPr>
        <w:t>Patrick Coveney, Chief Executive Officer</w:t>
      </w:r>
      <w:r w:rsidRPr="00D41F28">
        <w:rPr>
          <w:rFonts w:ascii="Arial" w:hAnsi="Arial" w:cs="Arial"/>
          <w:sz w:val="18"/>
          <w:szCs w:val="18"/>
          <w:lang w:val="en-GB"/>
        </w:rPr>
        <w:tab/>
        <w:t xml:space="preserve">+353 (0) 1 486 3313 </w:t>
      </w:r>
    </w:p>
    <w:p w14:paraId="4CC9A695" w14:textId="77777777" w:rsidR="004A1D2B" w:rsidRPr="00D41F28" w:rsidRDefault="004A1D2B" w:rsidP="004A1D2B">
      <w:pPr>
        <w:tabs>
          <w:tab w:val="right" w:pos="9638"/>
        </w:tabs>
        <w:spacing w:after="60" w:line="264" w:lineRule="auto"/>
        <w:rPr>
          <w:rFonts w:ascii="Arial" w:hAnsi="Arial" w:cs="Arial"/>
          <w:sz w:val="18"/>
          <w:szCs w:val="18"/>
          <w:lang w:val="en-GB"/>
        </w:rPr>
      </w:pPr>
      <w:r w:rsidRPr="00D41F28">
        <w:rPr>
          <w:rFonts w:ascii="Arial" w:hAnsi="Arial" w:cs="Arial"/>
          <w:sz w:val="18"/>
          <w:szCs w:val="18"/>
          <w:lang w:val="en-GB"/>
        </w:rPr>
        <w:t>Eoin Tonge, Chief Financial Officer</w:t>
      </w:r>
      <w:r w:rsidRPr="00D41F28">
        <w:rPr>
          <w:rFonts w:ascii="Arial" w:hAnsi="Arial" w:cs="Arial"/>
          <w:sz w:val="18"/>
          <w:szCs w:val="18"/>
          <w:lang w:val="en-GB"/>
        </w:rPr>
        <w:tab/>
        <w:t xml:space="preserve">+353 (0) 1 486 3316 </w:t>
      </w:r>
    </w:p>
    <w:p w14:paraId="6F087466" w14:textId="77777777" w:rsidR="004A1D2B" w:rsidRPr="00D41F28" w:rsidRDefault="004A1D2B" w:rsidP="004A1D2B">
      <w:pPr>
        <w:tabs>
          <w:tab w:val="right" w:pos="9638"/>
        </w:tabs>
        <w:spacing w:after="60" w:line="264" w:lineRule="auto"/>
        <w:rPr>
          <w:rFonts w:ascii="Arial" w:hAnsi="Arial" w:cs="Arial"/>
          <w:sz w:val="18"/>
          <w:szCs w:val="18"/>
          <w:lang w:val="en-GB"/>
        </w:rPr>
      </w:pPr>
      <w:r w:rsidRPr="00D41F28">
        <w:rPr>
          <w:rFonts w:ascii="Arial" w:hAnsi="Arial" w:cs="Arial"/>
          <w:sz w:val="18"/>
          <w:szCs w:val="18"/>
          <w:lang w:val="en-GB"/>
        </w:rPr>
        <w:t>Jack Gorman, Head of Investor Relations</w:t>
      </w:r>
      <w:r w:rsidRPr="00D41F28">
        <w:rPr>
          <w:rFonts w:ascii="Arial" w:hAnsi="Arial" w:cs="Arial"/>
          <w:sz w:val="18"/>
          <w:szCs w:val="18"/>
          <w:lang w:val="en-GB"/>
        </w:rPr>
        <w:tab/>
        <w:t xml:space="preserve">+353 (0) 1 486 3308 </w:t>
      </w:r>
    </w:p>
    <w:p w14:paraId="326657D4" w14:textId="77777777" w:rsidR="004A1D2B" w:rsidRPr="00D41F28" w:rsidRDefault="004A1D2B" w:rsidP="004A1D2B">
      <w:pPr>
        <w:spacing w:after="60" w:line="264" w:lineRule="auto"/>
        <w:rPr>
          <w:rFonts w:ascii="Arial" w:hAnsi="Arial" w:cs="Arial"/>
          <w:sz w:val="18"/>
          <w:szCs w:val="18"/>
          <w:lang w:val="en-GB"/>
        </w:rPr>
      </w:pPr>
    </w:p>
    <w:p w14:paraId="1B4433B7" w14:textId="2F88A782" w:rsidR="004A1D2B" w:rsidRPr="00D41F28" w:rsidRDefault="004A1D2B" w:rsidP="004A1D2B">
      <w:pPr>
        <w:tabs>
          <w:tab w:val="right" w:pos="9638"/>
        </w:tabs>
        <w:spacing w:after="60" w:line="264" w:lineRule="auto"/>
        <w:rPr>
          <w:rFonts w:ascii="Arial" w:hAnsi="Arial" w:cs="Arial"/>
          <w:sz w:val="18"/>
          <w:szCs w:val="18"/>
          <w:lang w:val="en-GB"/>
        </w:rPr>
      </w:pPr>
      <w:r w:rsidRPr="00D41F28">
        <w:rPr>
          <w:rFonts w:ascii="Arial" w:hAnsi="Arial" w:cs="Arial"/>
          <w:b/>
          <w:sz w:val="18"/>
          <w:szCs w:val="18"/>
          <w:lang w:val="en-GB"/>
        </w:rPr>
        <w:t>Greenhill – Sponsor and Joint Financial Adviser</w:t>
      </w:r>
      <w:r w:rsidRPr="00D41F28">
        <w:rPr>
          <w:rFonts w:ascii="Arial" w:hAnsi="Arial" w:cs="Arial"/>
          <w:sz w:val="18"/>
          <w:szCs w:val="18"/>
          <w:lang w:val="en-GB"/>
        </w:rPr>
        <w:tab/>
        <w:t>+44 (0) 20 7198 7400</w:t>
      </w:r>
    </w:p>
    <w:p w14:paraId="2280A2D6" w14:textId="77777777" w:rsidR="004A1D2B" w:rsidRPr="00D41F28" w:rsidRDefault="004A1D2B" w:rsidP="004A1D2B">
      <w:pPr>
        <w:spacing w:after="60" w:line="264" w:lineRule="auto"/>
        <w:rPr>
          <w:rFonts w:ascii="Arial" w:hAnsi="Arial" w:cs="Arial"/>
          <w:sz w:val="18"/>
          <w:szCs w:val="18"/>
          <w:lang w:val="en-GB"/>
        </w:rPr>
      </w:pPr>
      <w:r w:rsidRPr="00D41F28">
        <w:rPr>
          <w:rFonts w:ascii="Arial" w:hAnsi="Arial" w:cs="Arial"/>
          <w:sz w:val="18"/>
          <w:szCs w:val="18"/>
          <w:lang w:val="en-GB"/>
        </w:rPr>
        <w:t>Seamus Moorhead, David Wyles, Dean Rodrigues</w:t>
      </w:r>
    </w:p>
    <w:p w14:paraId="3BF3BDCA" w14:textId="77777777" w:rsidR="004A1D2B" w:rsidRPr="00D41F28" w:rsidRDefault="004A1D2B" w:rsidP="004A1D2B">
      <w:pPr>
        <w:spacing w:after="60" w:line="264" w:lineRule="auto"/>
        <w:rPr>
          <w:rFonts w:ascii="Arial" w:hAnsi="Arial" w:cs="Arial"/>
          <w:sz w:val="18"/>
          <w:szCs w:val="18"/>
          <w:lang w:val="en-GB"/>
        </w:rPr>
      </w:pPr>
    </w:p>
    <w:p w14:paraId="10C4C441" w14:textId="45C9EFEA" w:rsidR="004A1D2B" w:rsidRPr="00D41F28" w:rsidRDefault="004A1D2B" w:rsidP="004A1D2B">
      <w:pPr>
        <w:tabs>
          <w:tab w:val="right" w:pos="9638"/>
        </w:tabs>
        <w:spacing w:after="60" w:line="264" w:lineRule="auto"/>
        <w:rPr>
          <w:rFonts w:ascii="Arial" w:hAnsi="Arial" w:cs="Arial"/>
          <w:sz w:val="18"/>
          <w:szCs w:val="18"/>
          <w:lang w:val="en-GB"/>
        </w:rPr>
      </w:pPr>
      <w:r w:rsidRPr="00D41F28">
        <w:rPr>
          <w:rFonts w:ascii="Arial" w:hAnsi="Arial" w:cs="Arial"/>
          <w:b/>
          <w:sz w:val="18"/>
          <w:szCs w:val="18"/>
          <w:lang w:val="en-GB"/>
        </w:rPr>
        <w:t>Goldman Sachs</w:t>
      </w:r>
      <w:r w:rsidR="00C65443">
        <w:rPr>
          <w:rFonts w:ascii="Arial" w:hAnsi="Arial" w:cs="Arial"/>
          <w:b/>
          <w:sz w:val="18"/>
          <w:szCs w:val="18"/>
          <w:lang w:val="en-GB"/>
        </w:rPr>
        <w:t xml:space="preserve"> </w:t>
      </w:r>
      <w:r w:rsidRPr="00D41F28">
        <w:rPr>
          <w:rFonts w:ascii="Arial" w:hAnsi="Arial" w:cs="Arial"/>
          <w:b/>
          <w:sz w:val="18"/>
          <w:szCs w:val="18"/>
          <w:lang w:val="en-GB"/>
        </w:rPr>
        <w:t>– Joint Financial Adviser</w:t>
      </w:r>
      <w:r w:rsidRPr="00D41F28">
        <w:rPr>
          <w:rFonts w:ascii="Arial" w:hAnsi="Arial" w:cs="Arial"/>
          <w:sz w:val="18"/>
          <w:szCs w:val="18"/>
          <w:lang w:val="en-GB"/>
        </w:rPr>
        <w:tab/>
        <w:t>+44 (0) 20 7774 1000</w:t>
      </w:r>
    </w:p>
    <w:p w14:paraId="67A9AB3B" w14:textId="77777777" w:rsidR="004A1D2B" w:rsidRPr="00D41F28" w:rsidRDefault="004A1D2B" w:rsidP="004A1D2B">
      <w:pPr>
        <w:spacing w:after="60" w:line="264" w:lineRule="auto"/>
        <w:rPr>
          <w:rFonts w:ascii="Arial" w:hAnsi="Arial" w:cs="Arial"/>
          <w:sz w:val="18"/>
          <w:szCs w:val="18"/>
          <w:lang w:val="en-GB"/>
        </w:rPr>
      </w:pPr>
      <w:r w:rsidRPr="00D41F28">
        <w:rPr>
          <w:rFonts w:ascii="Arial" w:hAnsi="Arial" w:cs="Arial"/>
          <w:sz w:val="18"/>
          <w:szCs w:val="18"/>
          <w:lang w:val="en-GB"/>
        </w:rPr>
        <w:t>Anthony Gutman, Asad Ali, Owain Evans, Jimmy Bastock</w:t>
      </w:r>
    </w:p>
    <w:p w14:paraId="731AEA6B" w14:textId="77777777" w:rsidR="004A1D2B" w:rsidRPr="00D41F28" w:rsidRDefault="004A1D2B" w:rsidP="004A1D2B">
      <w:pPr>
        <w:spacing w:after="60" w:line="264" w:lineRule="auto"/>
        <w:rPr>
          <w:rFonts w:ascii="Arial" w:hAnsi="Arial" w:cs="Arial"/>
          <w:sz w:val="18"/>
          <w:szCs w:val="18"/>
          <w:lang w:val="en-GB"/>
        </w:rPr>
      </w:pPr>
    </w:p>
    <w:p w14:paraId="6AA011F7" w14:textId="08355CFA" w:rsidR="004A1D2B" w:rsidRPr="00D41F28" w:rsidRDefault="004A1D2B" w:rsidP="004A1D2B">
      <w:pPr>
        <w:tabs>
          <w:tab w:val="right" w:pos="9638"/>
        </w:tabs>
        <w:spacing w:after="60" w:line="264" w:lineRule="auto"/>
        <w:rPr>
          <w:rFonts w:ascii="Arial" w:hAnsi="Arial" w:cs="Arial"/>
          <w:b/>
          <w:sz w:val="18"/>
          <w:szCs w:val="18"/>
          <w:lang w:val="en-GB"/>
        </w:rPr>
      </w:pPr>
      <w:r w:rsidRPr="00D41F28">
        <w:rPr>
          <w:rFonts w:ascii="Arial" w:hAnsi="Arial" w:cs="Arial"/>
          <w:b/>
          <w:sz w:val="18"/>
          <w:szCs w:val="18"/>
          <w:lang w:val="en-GB"/>
        </w:rPr>
        <w:t>Goodbody</w:t>
      </w:r>
      <w:r w:rsidR="00192F60">
        <w:rPr>
          <w:rFonts w:ascii="Arial" w:hAnsi="Arial" w:cs="Arial"/>
          <w:b/>
          <w:sz w:val="18"/>
          <w:szCs w:val="18"/>
          <w:lang w:val="en-GB"/>
        </w:rPr>
        <w:t xml:space="preserve"> </w:t>
      </w:r>
      <w:r w:rsidR="00192F60" w:rsidRPr="00D41F28">
        <w:rPr>
          <w:rFonts w:ascii="Arial" w:hAnsi="Arial" w:cs="Arial"/>
          <w:b/>
          <w:sz w:val="18"/>
          <w:szCs w:val="18"/>
          <w:lang w:val="en-GB"/>
        </w:rPr>
        <w:t>– Joint Financial Adviser</w:t>
      </w:r>
      <w:r w:rsidRPr="00D41F28">
        <w:rPr>
          <w:rFonts w:ascii="Arial" w:hAnsi="Arial" w:cs="Arial"/>
          <w:b/>
          <w:sz w:val="18"/>
          <w:szCs w:val="18"/>
          <w:lang w:val="en-GB"/>
        </w:rPr>
        <w:tab/>
      </w:r>
      <w:r w:rsidR="00284002">
        <w:rPr>
          <w:rFonts w:ascii="Arial" w:hAnsi="Arial" w:cs="Arial"/>
          <w:sz w:val="18"/>
          <w:szCs w:val="18"/>
          <w:lang w:val="en-GB"/>
        </w:rPr>
        <w:t>+353 1 667 0420</w:t>
      </w:r>
    </w:p>
    <w:p w14:paraId="19DE1DC1" w14:textId="77777777" w:rsidR="004A1D2B" w:rsidRPr="00D41F28" w:rsidRDefault="004A1D2B" w:rsidP="004A1D2B">
      <w:pPr>
        <w:spacing w:after="60" w:line="264" w:lineRule="auto"/>
        <w:rPr>
          <w:rFonts w:ascii="Arial" w:hAnsi="Arial" w:cs="Arial"/>
          <w:sz w:val="18"/>
          <w:szCs w:val="18"/>
          <w:lang w:val="en-GB"/>
        </w:rPr>
      </w:pPr>
      <w:r w:rsidRPr="00D41F28">
        <w:rPr>
          <w:rFonts w:ascii="Arial" w:hAnsi="Arial" w:cs="Arial"/>
          <w:sz w:val="18"/>
          <w:szCs w:val="18"/>
          <w:lang w:val="en-GB"/>
        </w:rPr>
        <w:t>Linda Hickey</w:t>
      </w:r>
    </w:p>
    <w:p w14:paraId="7928339A" w14:textId="77777777" w:rsidR="004A1D2B" w:rsidRPr="00D41F28" w:rsidRDefault="004A1D2B" w:rsidP="004A1D2B">
      <w:pPr>
        <w:tabs>
          <w:tab w:val="right" w:pos="9638"/>
        </w:tabs>
        <w:spacing w:after="60" w:line="264" w:lineRule="auto"/>
        <w:rPr>
          <w:rFonts w:ascii="Arial" w:hAnsi="Arial" w:cs="Arial"/>
          <w:b/>
          <w:sz w:val="18"/>
          <w:szCs w:val="18"/>
          <w:lang w:val="en-GB"/>
        </w:rPr>
      </w:pPr>
    </w:p>
    <w:p w14:paraId="16508785" w14:textId="5BF6A048" w:rsidR="004A1D2B" w:rsidRPr="00D41F28" w:rsidRDefault="004A1D2B" w:rsidP="004A1D2B">
      <w:pPr>
        <w:tabs>
          <w:tab w:val="right" w:pos="9638"/>
        </w:tabs>
        <w:spacing w:after="60" w:line="264" w:lineRule="auto"/>
        <w:rPr>
          <w:rFonts w:ascii="Arial" w:hAnsi="Arial" w:cs="Arial"/>
          <w:b/>
          <w:sz w:val="18"/>
          <w:szCs w:val="18"/>
          <w:lang w:val="en-GB"/>
        </w:rPr>
      </w:pPr>
      <w:r w:rsidRPr="00D41F28">
        <w:rPr>
          <w:rFonts w:ascii="Arial" w:hAnsi="Arial" w:cs="Arial"/>
          <w:b/>
          <w:sz w:val="18"/>
          <w:szCs w:val="18"/>
          <w:lang w:val="en-GB"/>
        </w:rPr>
        <w:t>Jefferies</w:t>
      </w:r>
      <w:r w:rsidR="00192F60">
        <w:rPr>
          <w:rFonts w:ascii="Arial" w:hAnsi="Arial" w:cs="Arial"/>
          <w:b/>
          <w:sz w:val="18"/>
          <w:szCs w:val="18"/>
          <w:lang w:val="en-GB"/>
        </w:rPr>
        <w:t xml:space="preserve"> </w:t>
      </w:r>
      <w:r w:rsidR="00192F60" w:rsidRPr="00D41F28">
        <w:rPr>
          <w:rFonts w:ascii="Arial" w:hAnsi="Arial" w:cs="Arial"/>
          <w:b/>
          <w:sz w:val="18"/>
          <w:szCs w:val="18"/>
          <w:lang w:val="en-GB"/>
        </w:rPr>
        <w:t>– Joint Financial Adviser</w:t>
      </w:r>
      <w:r w:rsidRPr="00D41F28">
        <w:rPr>
          <w:rFonts w:ascii="Arial" w:hAnsi="Arial" w:cs="Arial"/>
          <w:b/>
          <w:sz w:val="18"/>
          <w:szCs w:val="18"/>
          <w:lang w:val="en-GB"/>
        </w:rPr>
        <w:tab/>
      </w:r>
      <w:r w:rsidR="00284002">
        <w:rPr>
          <w:rFonts w:ascii="Arial" w:hAnsi="Arial" w:cs="Arial"/>
          <w:sz w:val="18"/>
          <w:szCs w:val="18"/>
          <w:lang w:val="en-GB"/>
        </w:rPr>
        <w:t>+44 (0) 20 7029 8000</w:t>
      </w:r>
    </w:p>
    <w:p w14:paraId="2A6BB470" w14:textId="77777777" w:rsidR="004A1D2B" w:rsidRPr="00D41F28" w:rsidRDefault="004A1D2B" w:rsidP="004A1D2B">
      <w:pPr>
        <w:tabs>
          <w:tab w:val="right" w:pos="9638"/>
        </w:tabs>
        <w:spacing w:after="60" w:line="264" w:lineRule="auto"/>
        <w:rPr>
          <w:rFonts w:ascii="Arial" w:hAnsi="Arial" w:cs="Arial"/>
          <w:b/>
          <w:sz w:val="18"/>
          <w:szCs w:val="18"/>
          <w:lang w:val="en-GB"/>
        </w:rPr>
      </w:pPr>
      <w:r w:rsidRPr="00D41F28">
        <w:rPr>
          <w:rFonts w:ascii="Arial" w:hAnsi="Arial" w:cs="Arial"/>
          <w:sz w:val="18"/>
          <w:szCs w:val="18"/>
          <w:lang w:val="en-GB"/>
        </w:rPr>
        <w:t>Simon Hardy</w:t>
      </w:r>
    </w:p>
    <w:p w14:paraId="00F5EC3B" w14:textId="77777777" w:rsidR="004A1D2B" w:rsidRPr="00D41F28" w:rsidRDefault="004A1D2B" w:rsidP="004A1D2B">
      <w:pPr>
        <w:tabs>
          <w:tab w:val="right" w:pos="9638"/>
        </w:tabs>
        <w:spacing w:after="60" w:line="264" w:lineRule="auto"/>
        <w:rPr>
          <w:rFonts w:ascii="Arial" w:hAnsi="Arial" w:cs="Arial"/>
          <w:b/>
          <w:sz w:val="18"/>
          <w:szCs w:val="18"/>
          <w:lang w:val="en-GB"/>
        </w:rPr>
      </w:pPr>
    </w:p>
    <w:p w14:paraId="7574481B" w14:textId="77777777" w:rsidR="004A1D2B" w:rsidRPr="00D41F28" w:rsidRDefault="004A1D2B" w:rsidP="004A1D2B">
      <w:pPr>
        <w:tabs>
          <w:tab w:val="right" w:pos="9638"/>
        </w:tabs>
        <w:spacing w:after="60" w:line="264" w:lineRule="auto"/>
        <w:rPr>
          <w:rFonts w:ascii="Arial" w:hAnsi="Arial" w:cs="Arial"/>
          <w:sz w:val="18"/>
          <w:szCs w:val="18"/>
          <w:lang w:val="en-GB"/>
        </w:rPr>
      </w:pPr>
      <w:r w:rsidRPr="00D41F28">
        <w:rPr>
          <w:rFonts w:ascii="Arial" w:hAnsi="Arial" w:cs="Arial"/>
          <w:b/>
          <w:sz w:val="18"/>
          <w:szCs w:val="18"/>
          <w:lang w:val="en-GB"/>
        </w:rPr>
        <w:t>Powerscourt</w:t>
      </w:r>
      <w:r w:rsidRPr="00D41F28">
        <w:rPr>
          <w:rFonts w:ascii="Arial" w:hAnsi="Arial" w:cs="Arial"/>
          <w:sz w:val="18"/>
          <w:szCs w:val="18"/>
          <w:lang w:val="en-GB"/>
        </w:rPr>
        <w:tab/>
        <w:t>+44 (0) 20 7250 1446</w:t>
      </w:r>
    </w:p>
    <w:p w14:paraId="08FF2841" w14:textId="77777777" w:rsidR="004A1D2B" w:rsidRPr="00D41F28" w:rsidRDefault="004A1D2B" w:rsidP="004A1D2B">
      <w:pPr>
        <w:spacing w:after="60" w:line="264" w:lineRule="auto"/>
        <w:rPr>
          <w:rFonts w:ascii="Arial" w:hAnsi="Arial" w:cs="Arial"/>
          <w:sz w:val="18"/>
          <w:szCs w:val="18"/>
          <w:lang w:val="en-GB"/>
        </w:rPr>
      </w:pPr>
      <w:r w:rsidRPr="00D41F28">
        <w:rPr>
          <w:rFonts w:ascii="Arial" w:hAnsi="Arial" w:cs="Arial"/>
          <w:sz w:val="18"/>
          <w:szCs w:val="18"/>
          <w:lang w:val="en-GB"/>
        </w:rPr>
        <w:t>Rob Greening, Sam Austrums</w:t>
      </w:r>
    </w:p>
    <w:p w14:paraId="3FB7E89B" w14:textId="77777777" w:rsidR="004A1D2B" w:rsidRPr="00D41F28" w:rsidRDefault="004A1D2B" w:rsidP="004A1D2B">
      <w:pPr>
        <w:spacing w:after="120" w:line="264" w:lineRule="auto"/>
        <w:rPr>
          <w:rFonts w:ascii="Arial" w:hAnsi="Arial" w:cs="Arial"/>
          <w:b/>
          <w:sz w:val="18"/>
          <w:szCs w:val="18"/>
          <w:lang w:val="en-GB"/>
        </w:rPr>
      </w:pPr>
    </w:p>
    <w:p w14:paraId="0D63557B" w14:textId="77777777" w:rsidR="004A1D2B" w:rsidRPr="00D41F28" w:rsidRDefault="004A1D2B" w:rsidP="004A1D2B">
      <w:pPr>
        <w:tabs>
          <w:tab w:val="right" w:pos="9638"/>
        </w:tabs>
        <w:spacing w:after="120" w:line="264" w:lineRule="auto"/>
        <w:rPr>
          <w:rFonts w:ascii="Arial" w:hAnsi="Arial" w:cs="Arial"/>
          <w:sz w:val="18"/>
          <w:szCs w:val="18"/>
          <w:lang w:val="en-GB"/>
        </w:rPr>
      </w:pPr>
      <w:r w:rsidRPr="00D41F28">
        <w:rPr>
          <w:rFonts w:ascii="Arial" w:hAnsi="Arial" w:cs="Arial"/>
          <w:b/>
          <w:sz w:val="18"/>
          <w:szCs w:val="18"/>
          <w:lang w:val="en-GB"/>
        </w:rPr>
        <w:t>Drury | Porter Novelli</w:t>
      </w:r>
      <w:r w:rsidRPr="00D41F28">
        <w:rPr>
          <w:rFonts w:ascii="Arial" w:hAnsi="Arial" w:cs="Arial"/>
          <w:sz w:val="18"/>
          <w:szCs w:val="18"/>
          <w:lang w:val="en-GB"/>
        </w:rPr>
        <w:tab/>
        <w:t>+353 (0) 1 260 5000</w:t>
      </w:r>
    </w:p>
    <w:p w14:paraId="26AA193C" w14:textId="2DB1EB28" w:rsidR="004A1D2B" w:rsidRPr="00D41F28" w:rsidRDefault="004A1D2B" w:rsidP="004A1D2B">
      <w:pPr>
        <w:spacing w:after="120" w:line="264" w:lineRule="auto"/>
        <w:rPr>
          <w:rFonts w:ascii="Arial" w:hAnsi="Arial" w:cs="Arial"/>
          <w:sz w:val="18"/>
          <w:szCs w:val="18"/>
          <w:lang w:val="en-GB"/>
        </w:rPr>
      </w:pPr>
      <w:r w:rsidRPr="00D41F28">
        <w:rPr>
          <w:rFonts w:ascii="Arial" w:hAnsi="Arial" w:cs="Arial"/>
          <w:sz w:val="18"/>
          <w:szCs w:val="18"/>
          <w:lang w:val="en-GB"/>
        </w:rPr>
        <w:t>Billy Murphy, Louise Walsh</w:t>
      </w:r>
    </w:p>
    <w:p w14:paraId="6696EAFC" w14:textId="77777777" w:rsidR="004A1D2B" w:rsidRPr="00D41F28" w:rsidRDefault="004A1D2B" w:rsidP="004A1D2B">
      <w:pPr>
        <w:spacing w:after="120" w:line="264" w:lineRule="auto"/>
        <w:rPr>
          <w:rFonts w:ascii="Arial" w:hAnsi="Arial" w:cs="Arial"/>
          <w:sz w:val="18"/>
          <w:szCs w:val="18"/>
          <w:lang w:val="en-GB"/>
        </w:rPr>
      </w:pPr>
    </w:p>
    <w:p w14:paraId="34186EF7" w14:textId="77777777" w:rsidR="00D30792" w:rsidRDefault="00D30792" w:rsidP="004A1D2B">
      <w:pPr>
        <w:spacing w:after="120" w:line="264" w:lineRule="auto"/>
        <w:rPr>
          <w:rFonts w:ascii="Arial" w:hAnsi="Arial" w:cs="Arial"/>
          <w:b/>
          <w:sz w:val="18"/>
          <w:szCs w:val="18"/>
          <w:lang w:val="en-GB"/>
        </w:rPr>
      </w:pPr>
    </w:p>
    <w:p w14:paraId="4EE5D64C" w14:textId="77777777" w:rsidR="004A1D2B" w:rsidRPr="00D41F28" w:rsidRDefault="004A1D2B" w:rsidP="004A1D2B">
      <w:pPr>
        <w:spacing w:after="120" w:line="264" w:lineRule="auto"/>
        <w:rPr>
          <w:rFonts w:ascii="Arial" w:hAnsi="Arial" w:cs="Arial"/>
          <w:b/>
          <w:sz w:val="18"/>
          <w:szCs w:val="18"/>
          <w:lang w:val="en-GB"/>
        </w:rPr>
      </w:pPr>
      <w:r w:rsidRPr="00D41F28">
        <w:rPr>
          <w:rFonts w:ascii="Arial" w:hAnsi="Arial" w:cs="Arial"/>
          <w:b/>
          <w:sz w:val="18"/>
          <w:szCs w:val="18"/>
          <w:lang w:val="en-GB"/>
        </w:rPr>
        <w:lastRenderedPageBreak/>
        <w:t>NOTES TO EDITORS</w:t>
      </w:r>
    </w:p>
    <w:p w14:paraId="625AF3E1" w14:textId="77777777" w:rsidR="004A1D2B" w:rsidRPr="00D41F28" w:rsidRDefault="004A1D2B" w:rsidP="004A1D2B">
      <w:pPr>
        <w:spacing w:after="120" w:line="264" w:lineRule="auto"/>
        <w:rPr>
          <w:rFonts w:ascii="Arial" w:hAnsi="Arial" w:cs="Arial"/>
          <w:sz w:val="18"/>
          <w:szCs w:val="18"/>
          <w:lang w:val="en-GB"/>
        </w:rPr>
      </w:pPr>
    </w:p>
    <w:p w14:paraId="564AE983" w14:textId="77777777" w:rsidR="004A1D2B" w:rsidRPr="00D41F28" w:rsidRDefault="004A1D2B" w:rsidP="004A1D2B">
      <w:pPr>
        <w:spacing w:after="120" w:line="264" w:lineRule="auto"/>
        <w:rPr>
          <w:rFonts w:ascii="Arial" w:hAnsi="Arial" w:cs="Arial"/>
          <w:sz w:val="18"/>
          <w:szCs w:val="18"/>
          <w:lang w:val="en-GB"/>
        </w:rPr>
      </w:pPr>
      <w:r w:rsidRPr="00D41F28">
        <w:rPr>
          <w:rFonts w:ascii="Arial" w:hAnsi="Arial" w:cs="Arial"/>
          <w:sz w:val="18"/>
          <w:szCs w:val="18"/>
          <w:lang w:val="en-GB"/>
        </w:rPr>
        <w:t>Greencore:</w:t>
      </w:r>
    </w:p>
    <w:p w14:paraId="12ED1A37" w14:textId="77777777" w:rsidR="004A1D2B" w:rsidRPr="00D41F28" w:rsidRDefault="004A1D2B" w:rsidP="004A1D2B">
      <w:pPr>
        <w:pStyle w:val="ListParagraph"/>
        <w:numPr>
          <w:ilvl w:val="0"/>
          <w:numId w:val="13"/>
        </w:numPr>
        <w:spacing w:after="120" w:line="264" w:lineRule="auto"/>
        <w:contextualSpacing w:val="0"/>
        <w:jc w:val="both"/>
        <w:rPr>
          <w:rFonts w:ascii="Arial" w:hAnsi="Arial" w:cs="Arial"/>
          <w:sz w:val="18"/>
          <w:szCs w:val="18"/>
          <w:lang w:val="en-GB"/>
        </w:rPr>
      </w:pPr>
      <w:r w:rsidRPr="00D41F28">
        <w:rPr>
          <w:rFonts w:ascii="Arial" w:hAnsi="Arial" w:cs="Arial"/>
          <w:sz w:val="18"/>
          <w:szCs w:val="18"/>
          <w:lang w:val="en-GB"/>
        </w:rPr>
        <w:t>A leading manufacturer of convenience food in the UK</w:t>
      </w:r>
    </w:p>
    <w:p w14:paraId="2D13585E" w14:textId="77777777" w:rsidR="004A1D2B" w:rsidRPr="00D41F28" w:rsidRDefault="004A1D2B" w:rsidP="004A1D2B">
      <w:pPr>
        <w:pStyle w:val="ListParagraph"/>
        <w:numPr>
          <w:ilvl w:val="0"/>
          <w:numId w:val="13"/>
        </w:numPr>
        <w:spacing w:after="120" w:line="264" w:lineRule="auto"/>
        <w:contextualSpacing w:val="0"/>
        <w:jc w:val="both"/>
        <w:rPr>
          <w:rFonts w:ascii="Arial" w:hAnsi="Arial" w:cs="Arial"/>
          <w:sz w:val="18"/>
          <w:szCs w:val="18"/>
          <w:lang w:val="en-GB"/>
        </w:rPr>
      </w:pPr>
      <w:r w:rsidRPr="00D41F28">
        <w:rPr>
          <w:rFonts w:ascii="Arial" w:hAnsi="Arial" w:cs="Arial"/>
          <w:sz w:val="18"/>
          <w:szCs w:val="18"/>
          <w:lang w:val="en-GB"/>
        </w:rPr>
        <w:t xml:space="preserve">Strong market positions in the UK convenience food market across food to go, chilled prepared meals, chilled soups and sauces, chilled quiche, ambient sauces &amp; pickles, and frozen Yorkshire puddings </w:t>
      </w:r>
    </w:p>
    <w:p w14:paraId="5A31E451" w14:textId="77777777" w:rsidR="004A1D2B" w:rsidRPr="00D41F28" w:rsidRDefault="004A1D2B" w:rsidP="004A1D2B">
      <w:pPr>
        <w:pStyle w:val="ListParagraph"/>
        <w:numPr>
          <w:ilvl w:val="0"/>
          <w:numId w:val="13"/>
        </w:numPr>
        <w:spacing w:after="120" w:line="264" w:lineRule="auto"/>
        <w:contextualSpacing w:val="0"/>
        <w:jc w:val="both"/>
        <w:rPr>
          <w:rFonts w:ascii="Arial" w:hAnsi="Arial" w:cs="Arial"/>
          <w:sz w:val="18"/>
          <w:szCs w:val="18"/>
          <w:lang w:val="en-GB"/>
        </w:rPr>
      </w:pPr>
      <w:r w:rsidRPr="00D41F28">
        <w:rPr>
          <w:rFonts w:ascii="Arial" w:hAnsi="Arial" w:cs="Arial"/>
          <w:sz w:val="18"/>
          <w:szCs w:val="18"/>
          <w:lang w:val="en-GB"/>
        </w:rPr>
        <w:t>For more information go to www.greencore.com or follow Greencore on social media</w:t>
      </w:r>
    </w:p>
    <w:p w14:paraId="1475EF93" w14:textId="77777777" w:rsidR="00AB73C5" w:rsidRPr="00D41F28" w:rsidRDefault="00AB73C5" w:rsidP="004A1D2B">
      <w:pPr>
        <w:spacing w:after="120" w:line="264" w:lineRule="auto"/>
        <w:rPr>
          <w:rStyle w:val="ACLevel1asheadingtext"/>
          <w:rFonts w:ascii="Arial" w:eastAsia="Calibri" w:hAnsi="Arial" w:cs="Arial"/>
          <w:sz w:val="18"/>
          <w:szCs w:val="18"/>
          <w:lang w:val="en-GB"/>
        </w:rPr>
      </w:pPr>
    </w:p>
    <w:p w14:paraId="6A9236E0" w14:textId="77777777" w:rsidR="004A1D2B" w:rsidRPr="00D41F28" w:rsidRDefault="004A1D2B" w:rsidP="004A1D2B">
      <w:pPr>
        <w:spacing w:after="120" w:line="264" w:lineRule="auto"/>
        <w:rPr>
          <w:rStyle w:val="ACLevel1asheadingtext"/>
          <w:rFonts w:ascii="Arial" w:eastAsia="Calibri" w:hAnsi="Arial" w:cs="Arial"/>
          <w:sz w:val="18"/>
          <w:szCs w:val="18"/>
          <w:lang w:val="en-GB"/>
        </w:rPr>
      </w:pPr>
      <w:r w:rsidRPr="00D41F28">
        <w:rPr>
          <w:rStyle w:val="ACLevel1asheadingtext"/>
          <w:rFonts w:ascii="Arial" w:eastAsia="Calibri" w:hAnsi="Arial" w:cs="Arial"/>
          <w:sz w:val="18"/>
          <w:szCs w:val="18"/>
          <w:lang w:val="en-GB"/>
        </w:rPr>
        <w:t xml:space="preserve">IMPORTANT NOTICES </w:t>
      </w:r>
    </w:p>
    <w:p w14:paraId="0650119C" w14:textId="77777777" w:rsidR="004A1D2B" w:rsidRPr="00D41F28" w:rsidRDefault="004A1D2B" w:rsidP="004A1D2B">
      <w:pPr>
        <w:spacing w:after="120" w:line="264" w:lineRule="auto"/>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This Announcement is not intended to, and does not constitute, or form part of, any offer to sell or an invitation to purchase or subscribe for any securities or a solicitation of any vote or approval in any jurisdiction. Greencore shareholders are advised to read carefully the Circular once it has been published.  Any response to the Tender Offer should be made only on the basis of the information in the Circular to follow.</w:t>
      </w:r>
    </w:p>
    <w:p w14:paraId="48C0462B" w14:textId="3B5908A5" w:rsidR="004A1D2B" w:rsidRPr="00D41F28" w:rsidRDefault="004A1D2B">
      <w:pPr>
        <w:spacing w:after="120" w:line="264" w:lineRule="auto"/>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 xml:space="preserve">Each of Greenhill (which is authorised and regulated in the UK by the FCA), acting as joint financial adviser and Sponsor, Goldman Sachs (which is authorised by the Prudential </w:t>
      </w:r>
      <w:r w:rsidR="00996C95" w:rsidRPr="00D41F28">
        <w:rPr>
          <w:rStyle w:val="ACLevel1asheadingtext"/>
          <w:rFonts w:ascii="Arial" w:eastAsia="Calibri" w:hAnsi="Arial" w:cs="Arial"/>
          <w:b w:val="0"/>
          <w:sz w:val="18"/>
          <w:szCs w:val="18"/>
          <w:lang w:val="en-GB"/>
        </w:rPr>
        <w:t>Regulat</w:t>
      </w:r>
      <w:r w:rsidR="00996C95">
        <w:rPr>
          <w:rStyle w:val="ACLevel1asheadingtext"/>
          <w:rFonts w:ascii="Arial" w:eastAsia="Calibri" w:hAnsi="Arial" w:cs="Arial"/>
          <w:b w:val="0"/>
          <w:sz w:val="18"/>
          <w:szCs w:val="18"/>
          <w:lang w:val="en-GB"/>
        </w:rPr>
        <w:t>ion</w:t>
      </w:r>
      <w:r w:rsidR="00996C95" w:rsidRPr="00D41F28">
        <w:rPr>
          <w:rStyle w:val="ACLevel1asheadingtext"/>
          <w:rFonts w:ascii="Arial" w:eastAsia="Calibri" w:hAnsi="Arial" w:cs="Arial"/>
          <w:b w:val="0"/>
          <w:sz w:val="18"/>
          <w:szCs w:val="18"/>
          <w:lang w:val="en-GB"/>
        </w:rPr>
        <w:t xml:space="preserve"> </w:t>
      </w:r>
      <w:r w:rsidRPr="00D41F28">
        <w:rPr>
          <w:rStyle w:val="ACLevel1asheadingtext"/>
          <w:rFonts w:ascii="Arial" w:eastAsia="Calibri" w:hAnsi="Arial" w:cs="Arial"/>
          <w:b w:val="0"/>
          <w:sz w:val="18"/>
          <w:szCs w:val="18"/>
          <w:lang w:val="en-GB"/>
        </w:rPr>
        <w:t xml:space="preserve">Authority and regulated by the FCA and the Prudential Regulation Authority in the UK), acting as joint financial adviser, Goodbody (which is regulated by the Central Bank of Ireland, and in the UK, is authorised and subject to limited regulation by the FCA) acting as joint financial adviser, and </w:t>
      </w:r>
      <w:r w:rsidR="00AC0690" w:rsidRPr="00D41F28">
        <w:rPr>
          <w:rStyle w:val="ACLevel1asheadingtext"/>
          <w:rFonts w:ascii="Arial" w:eastAsia="Calibri" w:hAnsi="Arial" w:cs="Arial"/>
          <w:b w:val="0"/>
          <w:sz w:val="18"/>
          <w:szCs w:val="18"/>
          <w:lang w:val="en-GB"/>
        </w:rPr>
        <w:t>Jefferies (which is authorised and regulated in the UK by the FCA)</w:t>
      </w:r>
      <w:r w:rsidR="00AC0690" w:rsidRPr="00D41F28" w:rsidDel="00AC0690">
        <w:rPr>
          <w:rStyle w:val="ACLevel1asheadingtext"/>
          <w:rFonts w:ascii="Arial" w:eastAsia="Calibri" w:hAnsi="Arial" w:cs="Arial"/>
          <w:b w:val="0"/>
          <w:sz w:val="18"/>
          <w:szCs w:val="18"/>
          <w:lang w:val="en-GB"/>
        </w:rPr>
        <w:t xml:space="preserve"> </w:t>
      </w:r>
      <w:r w:rsidRPr="00D41F28">
        <w:rPr>
          <w:rStyle w:val="ACLevel1asheadingtext"/>
          <w:rFonts w:ascii="Arial" w:eastAsia="Calibri" w:hAnsi="Arial" w:cs="Arial"/>
          <w:b w:val="0"/>
          <w:sz w:val="18"/>
          <w:szCs w:val="18"/>
          <w:lang w:val="en-GB"/>
        </w:rPr>
        <w:t>acting as joint financial adviser (together the “</w:t>
      </w:r>
      <w:r w:rsidRPr="00D41F28">
        <w:rPr>
          <w:rStyle w:val="ACLevel1asheadingtext"/>
          <w:rFonts w:ascii="Arial" w:eastAsia="Calibri" w:hAnsi="Arial" w:cs="Arial"/>
          <w:sz w:val="18"/>
          <w:szCs w:val="18"/>
          <w:lang w:val="en-GB"/>
        </w:rPr>
        <w:t>Financial Advisers</w:t>
      </w:r>
      <w:r w:rsidRPr="00D41F28">
        <w:rPr>
          <w:rStyle w:val="ACLevel1asheadingtext"/>
          <w:rFonts w:ascii="Arial" w:eastAsia="Calibri" w:hAnsi="Arial" w:cs="Arial"/>
          <w:b w:val="0"/>
          <w:sz w:val="18"/>
          <w:szCs w:val="18"/>
          <w:lang w:val="en-GB"/>
        </w:rPr>
        <w:t xml:space="preserve">”), is acting exclusively for Greencore and no one else in connection with this Announcement and the Tender Offer and will not regard any other person as its client in relation to the Tender Offer and accordingly will not be responsible to anyone other than Greencore for providing the protections afforded to its clients, or for providing advice in connection with the Tender Offer, the contents of this Announcement or any other transaction, arrangement or other matter referred to in this Announcement as relevant. </w:t>
      </w:r>
    </w:p>
    <w:p w14:paraId="1350B7D1" w14:textId="77777777" w:rsidR="004A1D2B" w:rsidRPr="00D41F28" w:rsidRDefault="004A1D2B" w:rsidP="004A1D2B">
      <w:pPr>
        <w:spacing w:after="120" w:line="264" w:lineRule="auto"/>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Apart from the responsibilities and liabilities, if any, which may be imposed on the Financial Advisers under FSMA or the regulatory regime established thereunder: (i) none of the Financial Advisers or any persons associated or affiliated with either of them accepts any responsibility whatsoever or makes any warranty or representation, express or implied, in relation to the contents of this Announcement, including its accuracy, completeness or verification or for any other statement made or purported to be made by, or on behalf of it, Greencore or the Directors, in connection with Greencore and/or the Tender Offer; and (ii) each of the Financial Advisers accordingly disclaims, to the fullest extent permitted by law, all and any liability whatsoever, whether arising in tort, contract or otherwise (save as referred to above) which they might otherwise be found to have in respect of this Announcement or any such statement.</w:t>
      </w:r>
    </w:p>
    <w:p w14:paraId="1AA87863" w14:textId="77777777" w:rsidR="004A1D2B" w:rsidRPr="00D41F28" w:rsidRDefault="004A1D2B" w:rsidP="004A1D2B">
      <w:pPr>
        <w:spacing w:after="120" w:line="264" w:lineRule="auto"/>
        <w:jc w:val="both"/>
        <w:rPr>
          <w:rStyle w:val="ACLevel1asheadingtext"/>
          <w:rFonts w:ascii="Arial" w:eastAsia="Calibri" w:hAnsi="Arial" w:cs="Arial"/>
          <w:i/>
          <w:sz w:val="18"/>
          <w:szCs w:val="18"/>
          <w:lang w:val="en-GB"/>
        </w:rPr>
      </w:pPr>
      <w:r w:rsidRPr="00D41F28">
        <w:rPr>
          <w:rStyle w:val="ACLevel1asheadingtext"/>
          <w:rFonts w:ascii="Arial" w:eastAsia="Calibri" w:hAnsi="Arial" w:cs="Arial"/>
          <w:i/>
          <w:sz w:val="18"/>
          <w:szCs w:val="18"/>
          <w:lang w:val="en-GB"/>
        </w:rPr>
        <w:t>Cautionary statement regarding forward-looking statements</w:t>
      </w:r>
    </w:p>
    <w:p w14:paraId="4C1F2EED" w14:textId="77777777" w:rsidR="004A1D2B" w:rsidRPr="00D41F28" w:rsidRDefault="004A1D2B" w:rsidP="004A1D2B">
      <w:pPr>
        <w:spacing w:after="120" w:line="264" w:lineRule="auto"/>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This Announcement contains statements about Greencore that are or may be forward-looking statements.  All statements other than statements of historical facts included in this Announcement may be forward-looking statements.  Without limitation, any statements preceded or followed by or that include the words “targets”, “should”, “continue”, “plans”, “believes”, “expects”, “aims”, “intends”, “will”, “may”, “anticipates”, “estimates”, “projects” or words or terms of similar substance or the negative thereof, are forward-looking statements.  Forward-looking statements include all matters that are not historical facts and statements relating to the following: (i) future capital expenditures, expenses, revenues, earnings, synergies, economic performance, future capital-raising activities, indebtedness, financial condition, dividend policy, losses and future prospects; (ii) business and management strategies and the expansion and growth of Greencore’s operations and potential effects the Tender Offer; and (iii) the effects of government regulation on Greencore’s business.</w:t>
      </w:r>
    </w:p>
    <w:p w14:paraId="63582671" w14:textId="77777777" w:rsidR="004A1D2B" w:rsidRPr="00D41F28" w:rsidRDefault="004A1D2B" w:rsidP="004A1D2B">
      <w:pPr>
        <w:spacing w:after="120" w:line="264" w:lineRule="auto"/>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By their nature, forward-looking statements involve risk and uncertainty because they relate to future events and circumstances that are difficult to predict and outside of Greencore’s ability to control. Forward-looking statements are not guarantees of future performance and the actual results of Greencore’s operations and the development of the markets and the industry in which Greencore operates, may differ materially from those described in, or suggested by, the forward-looking statements contained in this Announcement. In addition, even if Greencore’s business results of operations, financial  position and/or prospects, and the development of the markets and the industry in which Greencore operates, are consistent with the forward-looking statements contained in this Announcement, those results and developments may not be indicative of results or developments in subsequent periods.  A number of factors could cause results and developments of Greencore to differ materially from those expressed or implied by the forward-looking statements including, without limitation:</w:t>
      </w:r>
    </w:p>
    <w:p w14:paraId="47C7AFEA" w14:textId="77777777" w:rsidR="004A1D2B" w:rsidRPr="00D41F28" w:rsidRDefault="004A1D2B" w:rsidP="004A1D2B">
      <w:pPr>
        <w:pStyle w:val="ListParagraph"/>
        <w:numPr>
          <w:ilvl w:val="0"/>
          <w:numId w:val="14"/>
        </w:numPr>
        <w:spacing w:after="120" w:line="264" w:lineRule="auto"/>
        <w:contextualSpacing w:val="0"/>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the performance of Greencore’s customers may be adversely impacted by changing retail and industry structure, which in turn may affect Greencore’s performance;</w:t>
      </w:r>
    </w:p>
    <w:p w14:paraId="52B48F4E" w14:textId="77777777" w:rsidR="004A1D2B" w:rsidRPr="00D41F28" w:rsidRDefault="004A1D2B" w:rsidP="004A1D2B">
      <w:pPr>
        <w:pStyle w:val="ListParagraph"/>
        <w:numPr>
          <w:ilvl w:val="0"/>
          <w:numId w:val="14"/>
        </w:numPr>
        <w:spacing w:after="120" w:line="264" w:lineRule="auto"/>
        <w:contextualSpacing w:val="0"/>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demand for Greencore’s products may be affected by changes in consumer behaviour and demand and changes in consumer legislation;</w:t>
      </w:r>
    </w:p>
    <w:p w14:paraId="73EA815E" w14:textId="77777777" w:rsidR="004A1D2B" w:rsidRPr="00D41F28" w:rsidRDefault="004A1D2B" w:rsidP="004A1D2B">
      <w:pPr>
        <w:pStyle w:val="ListParagraph"/>
        <w:numPr>
          <w:ilvl w:val="0"/>
          <w:numId w:val="14"/>
        </w:numPr>
        <w:spacing w:after="120" w:line="264" w:lineRule="auto"/>
        <w:contextualSpacing w:val="0"/>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Greencore’s success may depend on their customers’ brands, reputations and relationships; and</w:t>
      </w:r>
    </w:p>
    <w:p w14:paraId="0671F1C8" w14:textId="77777777" w:rsidR="004A1D2B" w:rsidRPr="00D41F28" w:rsidRDefault="004A1D2B" w:rsidP="004A1D2B">
      <w:pPr>
        <w:pStyle w:val="ListParagraph"/>
        <w:numPr>
          <w:ilvl w:val="0"/>
          <w:numId w:val="14"/>
        </w:numPr>
        <w:spacing w:after="120" w:line="264" w:lineRule="auto"/>
        <w:contextualSpacing w:val="0"/>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lastRenderedPageBreak/>
        <w:t>other factors discussed in more detail in the Circular.</w:t>
      </w:r>
    </w:p>
    <w:p w14:paraId="483A4AC8" w14:textId="61AD6F1E" w:rsidR="00D64CC9" w:rsidRPr="00D41F28" w:rsidRDefault="004A1D2B" w:rsidP="00D41F28">
      <w:pPr>
        <w:spacing w:after="120" w:line="264" w:lineRule="auto"/>
        <w:jc w:val="both"/>
        <w:rPr>
          <w:rStyle w:val="ACLevel1asheadingtext"/>
          <w:rFonts w:ascii="Arial" w:eastAsia="Calibri" w:hAnsi="Arial" w:cs="Arial"/>
          <w:b w:val="0"/>
          <w:sz w:val="18"/>
          <w:szCs w:val="18"/>
          <w:lang w:val="en-GB"/>
        </w:rPr>
      </w:pPr>
      <w:r w:rsidRPr="00D41F28">
        <w:rPr>
          <w:rStyle w:val="ACLevel1asheadingtext"/>
          <w:rFonts w:ascii="Arial" w:eastAsia="Calibri" w:hAnsi="Arial" w:cs="Arial"/>
          <w:b w:val="0"/>
          <w:sz w:val="18"/>
          <w:szCs w:val="18"/>
          <w:lang w:val="en-GB"/>
        </w:rPr>
        <w:t xml:space="preserve">The forward-looking statements therein speak only at the date of this Announcement and Shareholders are cautioned not to place undue reliance on such forward-looking statements.  Save as required by the Market Abuse Regulation, the Disclosure Guidance and Transparency Rules, the Listing Rules or by law, Greencore undertakes no obligation to update these forward-looking statements and will not publicly release any revisions it may make to these forward-looking statements that may occur due to any change in its expectations or to reflect events or circumstances after the date of this Announcement.  </w:t>
      </w:r>
      <w:bookmarkEnd w:id="1"/>
      <w:bookmarkEnd w:id="2"/>
      <w:bookmarkEnd w:id="3"/>
      <w:bookmarkEnd w:id="4"/>
      <w:bookmarkEnd w:id="5"/>
    </w:p>
    <w:sectPr w:rsidR="00D64CC9" w:rsidRPr="00D41F28" w:rsidSect="00C41735">
      <w:headerReference w:type="even" r:id="rId10"/>
      <w:headerReference w:type="default" r:id="rId11"/>
      <w:footerReference w:type="even" r:id="rId12"/>
      <w:footerReference w:type="default" r:id="rId13"/>
      <w:headerReference w:type="first" r:id="rId14"/>
      <w:pgSz w:w="11906" w:h="16838"/>
      <w:pgMar w:top="284" w:right="1134" w:bottom="1134" w:left="1134" w:header="56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5F455" w14:textId="77777777" w:rsidR="005C13DD" w:rsidRDefault="005C13DD" w:rsidP="001F441E">
      <w:pPr>
        <w:spacing w:after="0" w:line="240" w:lineRule="auto"/>
      </w:pPr>
      <w:r>
        <w:separator/>
      </w:r>
    </w:p>
  </w:endnote>
  <w:endnote w:type="continuationSeparator" w:id="0">
    <w:p w14:paraId="5753D6CA" w14:textId="77777777" w:rsidR="005C13DD" w:rsidRDefault="005C13DD" w:rsidP="001F4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DBC3C" w14:textId="77777777" w:rsidR="00061E5E" w:rsidRDefault="00061E5E">
    <w:pPr>
      <w:pStyle w:val="Footer"/>
    </w:pPr>
  </w:p>
  <w:p w14:paraId="78FB0A15" w14:textId="77777777" w:rsidR="00061E5E" w:rsidRDefault="00061E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599222"/>
      <w:docPartObj>
        <w:docPartGallery w:val="Page Numbers (Bottom of Page)"/>
        <w:docPartUnique/>
      </w:docPartObj>
    </w:sdtPr>
    <w:sdtEndPr>
      <w:rPr>
        <w:noProof/>
      </w:rPr>
    </w:sdtEndPr>
    <w:sdtContent>
      <w:p w14:paraId="1E24D237" w14:textId="619EDAA4" w:rsidR="00061E5E" w:rsidRDefault="00061E5E" w:rsidP="00731547">
        <w:pPr>
          <w:pStyle w:val="Footer"/>
          <w:jc w:val="center"/>
        </w:pPr>
        <w:r>
          <w:fldChar w:fldCharType="begin"/>
        </w:r>
        <w:r>
          <w:instrText xml:space="preserve"> PAGE   \* MERGEFORMAT </w:instrText>
        </w:r>
        <w:r>
          <w:fldChar w:fldCharType="separate"/>
        </w:r>
        <w:r w:rsidR="00D3079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0F088" w14:textId="77777777" w:rsidR="005C13DD" w:rsidRDefault="005C13DD" w:rsidP="001F441E">
      <w:pPr>
        <w:spacing w:after="0" w:line="240" w:lineRule="auto"/>
      </w:pPr>
      <w:r>
        <w:separator/>
      </w:r>
    </w:p>
  </w:footnote>
  <w:footnote w:type="continuationSeparator" w:id="0">
    <w:p w14:paraId="45FCC658" w14:textId="77777777" w:rsidR="005C13DD" w:rsidRDefault="005C13DD" w:rsidP="001F44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F9CA0" w14:textId="4EA0628A" w:rsidR="00D41F28" w:rsidRDefault="00D41F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36789" w14:textId="79F12B56" w:rsidR="00D41F28" w:rsidRDefault="00D41F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440E" w14:textId="0BDD94C1" w:rsidR="00D41F28" w:rsidRDefault="00D41F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85499"/>
    <w:multiLevelType w:val="hybridMultilevel"/>
    <w:tmpl w:val="5E64AD5E"/>
    <w:lvl w:ilvl="0" w:tplc="9FA6234E">
      <w:start w:val="1"/>
      <w:numFmt w:val="bullet"/>
      <w:lvlText w:val="•"/>
      <w:lvlJc w:val="left"/>
      <w:pPr>
        <w:tabs>
          <w:tab w:val="num" w:pos="720"/>
        </w:tabs>
        <w:ind w:left="720" w:hanging="360"/>
      </w:pPr>
      <w:rPr>
        <w:rFonts w:ascii="Arial" w:hAnsi="Arial" w:hint="default"/>
      </w:rPr>
    </w:lvl>
    <w:lvl w:ilvl="1" w:tplc="EC96E104" w:tentative="1">
      <w:start w:val="1"/>
      <w:numFmt w:val="bullet"/>
      <w:lvlText w:val="•"/>
      <w:lvlJc w:val="left"/>
      <w:pPr>
        <w:tabs>
          <w:tab w:val="num" w:pos="1440"/>
        </w:tabs>
        <w:ind w:left="1440" w:hanging="360"/>
      </w:pPr>
      <w:rPr>
        <w:rFonts w:ascii="Arial" w:hAnsi="Arial" w:hint="default"/>
      </w:rPr>
    </w:lvl>
    <w:lvl w:ilvl="2" w:tplc="D44E2B0A" w:tentative="1">
      <w:start w:val="1"/>
      <w:numFmt w:val="bullet"/>
      <w:lvlText w:val="•"/>
      <w:lvlJc w:val="left"/>
      <w:pPr>
        <w:tabs>
          <w:tab w:val="num" w:pos="2160"/>
        </w:tabs>
        <w:ind w:left="2160" w:hanging="360"/>
      </w:pPr>
      <w:rPr>
        <w:rFonts w:ascii="Arial" w:hAnsi="Arial" w:hint="default"/>
      </w:rPr>
    </w:lvl>
    <w:lvl w:ilvl="3" w:tplc="AA90F9DE" w:tentative="1">
      <w:start w:val="1"/>
      <w:numFmt w:val="bullet"/>
      <w:lvlText w:val="•"/>
      <w:lvlJc w:val="left"/>
      <w:pPr>
        <w:tabs>
          <w:tab w:val="num" w:pos="2880"/>
        </w:tabs>
        <w:ind w:left="2880" w:hanging="360"/>
      </w:pPr>
      <w:rPr>
        <w:rFonts w:ascii="Arial" w:hAnsi="Arial" w:hint="default"/>
      </w:rPr>
    </w:lvl>
    <w:lvl w:ilvl="4" w:tplc="3BC8C0E6" w:tentative="1">
      <w:start w:val="1"/>
      <w:numFmt w:val="bullet"/>
      <w:lvlText w:val="•"/>
      <w:lvlJc w:val="left"/>
      <w:pPr>
        <w:tabs>
          <w:tab w:val="num" w:pos="3600"/>
        </w:tabs>
        <w:ind w:left="3600" w:hanging="360"/>
      </w:pPr>
      <w:rPr>
        <w:rFonts w:ascii="Arial" w:hAnsi="Arial" w:hint="default"/>
      </w:rPr>
    </w:lvl>
    <w:lvl w:ilvl="5" w:tplc="ABDCA80C" w:tentative="1">
      <w:start w:val="1"/>
      <w:numFmt w:val="bullet"/>
      <w:lvlText w:val="•"/>
      <w:lvlJc w:val="left"/>
      <w:pPr>
        <w:tabs>
          <w:tab w:val="num" w:pos="4320"/>
        </w:tabs>
        <w:ind w:left="4320" w:hanging="360"/>
      </w:pPr>
      <w:rPr>
        <w:rFonts w:ascii="Arial" w:hAnsi="Arial" w:hint="default"/>
      </w:rPr>
    </w:lvl>
    <w:lvl w:ilvl="6" w:tplc="6F603A52" w:tentative="1">
      <w:start w:val="1"/>
      <w:numFmt w:val="bullet"/>
      <w:lvlText w:val="•"/>
      <w:lvlJc w:val="left"/>
      <w:pPr>
        <w:tabs>
          <w:tab w:val="num" w:pos="5040"/>
        </w:tabs>
        <w:ind w:left="5040" w:hanging="360"/>
      </w:pPr>
      <w:rPr>
        <w:rFonts w:ascii="Arial" w:hAnsi="Arial" w:hint="default"/>
      </w:rPr>
    </w:lvl>
    <w:lvl w:ilvl="7" w:tplc="E1F89298" w:tentative="1">
      <w:start w:val="1"/>
      <w:numFmt w:val="bullet"/>
      <w:lvlText w:val="•"/>
      <w:lvlJc w:val="left"/>
      <w:pPr>
        <w:tabs>
          <w:tab w:val="num" w:pos="5760"/>
        </w:tabs>
        <w:ind w:left="5760" w:hanging="360"/>
      </w:pPr>
      <w:rPr>
        <w:rFonts w:ascii="Arial" w:hAnsi="Arial" w:hint="default"/>
      </w:rPr>
    </w:lvl>
    <w:lvl w:ilvl="8" w:tplc="5F26AC8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FB2AC8"/>
    <w:multiLevelType w:val="hybridMultilevel"/>
    <w:tmpl w:val="C5C0CE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BB4CC6"/>
    <w:multiLevelType w:val="hybridMultilevel"/>
    <w:tmpl w:val="3F8C2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357B26"/>
    <w:multiLevelType w:val="hybridMultilevel"/>
    <w:tmpl w:val="81028F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BE202BD"/>
    <w:multiLevelType w:val="hybridMultilevel"/>
    <w:tmpl w:val="82CAFEFC"/>
    <w:lvl w:ilvl="0" w:tplc="A2A03EF2">
      <w:start w:val="1"/>
      <w:numFmt w:val="bullet"/>
      <w:lvlText w:val="•"/>
      <w:lvlJc w:val="left"/>
      <w:pPr>
        <w:tabs>
          <w:tab w:val="num" w:pos="720"/>
        </w:tabs>
        <w:ind w:left="720" w:hanging="360"/>
      </w:pPr>
      <w:rPr>
        <w:rFonts w:ascii="Arial" w:hAnsi="Arial" w:hint="default"/>
      </w:rPr>
    </w:lvl>
    <w:lvl w:ilvl="1" w:tplc="466C2104" w:tentative="1">
      <w:start w:val="1"/>
      <w:numFmt w:val="bullet"/>
      <w:lvlText w:val="•"/>
      <w:lvlJc w:val="left"/>
      <w:pPr>
        <w:tabs>
          <w:tab w:val="num" w:pos="1440"/>
        </w:tabs>
        <w:ind w:left="1440" w:hanging="360"/>
      </w:pPr>
      <w:rPr>
        <w:rFonts w:ascii="Arial" w:hAnsi="Arial" w:hint="default"/>
      </w:rPr>
    </w:lvl>
    <w:lvl w:ilvl="2" w:tplc="0B82CD1C" w:tentative="1">
      <w:start w:val="1"/>
      <w:numFmt w:val="bullet"/>
      <w:lvlText w:val="•"/>
      <w:lvlJc w:val="left"/>
      <w:pPr>
        <w:tabs>
          <w:tab w:val="num" w:pos="2160"/>
        </w:tabs>
        <w:ind w:left="2160" w:hanging="360"/>
      </w:pPr>
      <w:rPr>
        <w:rFonts w:ascii="Arial" w:hAnsi="Arial" w:hint="default"/>
      </w:rPr>
    </w:lvl>
    <w:lvl w:ilvl="3" w:tplc="42B69162" w:tentative="1">
      <w:start w:val="1"/>
      <w:numFmt w:val="bullet"/>
      <w:lvlText w:val="•"/>
      <w:lvlJc w:val="left"/>
      <w:pPr>
        <w:tabs>
          <w:tab w:val="num" w:pos="2880"/>
        </w:tabs>
        <w:ind w:left="2880" w:hanging="360"/>
      </w:pPr>
      <w:rPr>
        <w:rFonts w:ascii="Arial" w:hAnsi="Arial" w:hint="default"/>
      </w:rPr>
    </w:lvl>
    <w:lvl w:ilvl="4" w:tplc="06C8A6DA" w:tentative="1">
      <w:start w:val="1"/>
      <w:numFmt w:val="bullet"/>
      <w:lvlText w:val="•"/>
      <w:lvlJc w:val="left"/>
      <w:pPr>
        <w:tabs>
          <w:tab w:val="num" w:pos="3600"/>
        </w:tabs>
        <w:ind w:left="3600" w:hanging="360"/>
      </w:pPr>
      <w:rPr>
        <w:rFonts w:ascii="Arial" w:hAnsi="Arial" w:hint="default"/>
      </w:rPr>
    </w:lvl>
    <w:lvl w:ilvl="5" w:tplc="7AAEC79C" w:tentative="1">
      <w:start w:val="1"/>
      <w:numFmt w:val="bullet"/>
      <w:lvlText w:val="•"/>
      <w:lvlJc w:val="left"/>
      <w:pPr>
        <w:tabs>
          <w:tab w:val="num" w:pos="4320"/>
        </w:tabs>
        <w:ind w:left="4320" w:hanging="360"/>
      </w:pPr>
      <w:rPr>
        <w:rFonts w:ascii="Arial" w:hAnsi="Arial" w:hint="default"/>
      </w:rPr>
    </w:lvl>
    <w:lvl w:ilvl="6" w:tplc="371E0084" w:tentative="1">
      <w:start w:val="1"/>
      <w:numFmt w:val="bullet"/>
      <w:lvlText w:val="•"/>
      <w:lvlJc w:val="left"/>
      <w:pPr>
        <w:tabs>
          <w:tab w:val="num" w:pos="5040"/>
        </w:tabs>
        <w:ind w:left="5040" w:hanging="360"/>
      </w:pPr>
      <w:rPr>
        <w:rFonts w:ascii="Arial" w:hAnsi="Arial" w:hint="default"/>
      </w:rPr>
    </w:lvl>
    <w:lvl w:ilvl="7" w:tplc="1D0809A8" w:tentative="1">
      <w:start w:val="1"/>
      <w:numFmt w:val="bullet"/>
      <w:lvlText w:val="•"/>
      <w:lvlJc w:val="left"/>
      <w:pPr>
        <w:tabs>
          <w:tab w:val="num" w:pos="5760"/>
        </w:tabs>
        <w:ind w:left="5760" w:hanging="360"/>
      </w:pPr>
      <w:rPr>
        <w:rFonts w:ascii="Arial" w:hAnsi="Arial" w:hint="default"/>
      </w:rPr>
    </w:lvl>
    <w:lvl w:ilvl="8" w:tplc="D8CC9F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CF6938"/>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2531D11"/>
    <w:multiLevelType w:val="hybridMultilevel"/>
    <w:tmpl w:val="795A03A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9D27B4"/>
    <w:multiLevelType w:val="hybridMultilevel"/>
    <w:tmpl w:val="CFF6C6AC"/>
    <w:lvl w:ilvl="0" w:tplc="48846C60">
      <w:start w:val="1"/>
      <w:numFmt w:val="bullet"/>
      <w:lvlText w:val="•"/>
      <w:lvlJc w:val="left"/>
      <w:pPr>
        <w:tabs>
          <w:tab w:val="num" w:pos="720"/>
        </w:tabs>
        <w:ind w:left="720" w:hanging="360"/>
      </w:pPr>
      <w:rPr>
        <w:rFonts w:ascii="Arial" w:hAnsi="Arial" w:hint="default"/>
      </w:rPr>
    </w:lvl>
    <w:lvl w:ilvl="1" w:tplc="22C8D000" w:tentative="1">
      <w:start w:val="1"/>
      <w:numFmt w:val="bullet"/>
      <w:lvlText w:val="•"/>
      <w:lvlJc w:val="left"/>
      <w:pPr>
        <w:tabs>
          <w:tab w:val="num" w:pos="1440"/>
        </w:tabs>
        <w:ind w:left="1440" w:hanging="360"/>
      </w:pPr>
      <w:rPr>
        <w:rFonts w:ascii="Arial" w:hAnsi="Arial" w:hint="default"/>
      </w:rPr>
    </w:lvl>
    <w:lvl w:ilvl="2" w:tplc="21FE78A4" w:tentative="1">
      <w:start w:val="1"/>
      <w:numFmt w:val="bullet"/>
      <w:lvlText w:val="•"/>
      <w:lvlJc w:val="left"/>
      <w:pPr>
        <w:tabs>
          <w:tab w:val="num" w:pos="2160"/>
        </w:tabs>
        <w:ind w:left="2160" w:hanging="360"/>
      </w:pPr>
      <w:rPr>
        <w:rFonts w:ascii="Arial" w:hAnsi="Arial" w:hint="default"/>
      </w:rPr>
    </w:lvl>
    <w:lvl w:ilvl="3" w:tplc="CBBEEBFE" w:tentative="1">
      <w:start w:val="1"/>
      <w:numFmt w:val="bullet"/>
      <w:lvlText w:val="•"/>
      <w:lvlJc w:val="left"/>
      <w:pPr>
        <w:tabs>
          <w:tab w:val="num" w:pos="2880"/>
        </w:tabs>
        <w:ind w:left="2880" w:hanging="360"/>
      </w:pPr>
      <w:rPr>
        <w:rFonts w:ascii="Arial" w:hAnsi="Arial" w:hint="default"/>
      </w:rPr>
    </w:lvl>
    <w:lvl w:ilvl="4" w:tplc="1BD29EFA" w:tentative="1">
      <w:start w:val="1"/>
      <w:numFmt w:val="bullet"/>
      <w:lvlText w:val="•"/>
      <w:lvlJc w:val="left"/>
      <w:pPr>
        <w:tabs>
          <w:tab w:val="num" w:pos="3600"/>
        </w:tabs>
        <w:ind w:left="3600" w:hanging="360"/>
      </w:pPr>
      <w:rPr>
        <w:rFonts w:ascii="Arial" w:hAnsi="Arial" w:hint="default"/>
      </w:rPr>
    </w:lvl>
    <w:lvl w:ilvl="5" w:tplc="4628E82A" w:tentative="1">
      <w:start w:val="1"/>
      <w:numFmt w:val="bullet"/>
      <w:lvlText w:val="•"/>
      <w:lvlJc w:val="left"/>
      <w:pPr>
        <w:tabs>
          <w:tab w:val="num" w:pos="4320"/>
        </w:tabs>
        <w:ind w:left="4320" w:hanging="360"/>
      </w:pPr>
      <w:rPr>
        <w:rFonts w:ascii="Arial" w:hAnsi="Arial" w:hint="default"/>
      </w:rPr>
    </w:lvl>
    <w:lvl w:ilvl="6" w:tplc="1D78E9AC" w:tentative="1">
      <w:start w:val="1"/>
      <w:numFmt w:val="bullet"/>
      <w:lvlText w:val="•"/>
      <w:lvlJc w:val="left"/>
      <w:pPr>
        <w:tabs>
          <w:tab w:val="num" w:pos="5040"/>
        </w:tabs>
        <w:ind w:left="5040" w:hanging="360"/>
      </w:pPr>
      <w:rPr>
        <w:rFonts w:ascii="Arial" w:hAnsi="Arial" w:hint="default"/>
      </w:rPr>
    </w:lvl>
    <w:lvl w:ilvl="7" w:tplc="0A56FC48" w:tentative="1">
      <w:start w:val="1"/>
      <w:numFmt w:val="bullet"/>
      <w:lvlText w:val="•"/>
      <w:lvlJc w:val="left"/>
      <w:pPr>
        <w:tabs>
          <w:tab w:val="num" w:pos="5760"/>
        </w:tabs>
        <w:ind w:left="5760" w:hanging="360"/>
      </w:pPr>
      <w:rPr>
        <w:rFonts w:ascii="Arial" w:hAnsi="Arial" w:hint="default"/>
      </w:rPr>
    </w:lvl>
    <w:lvl w:ilvl="8" w:tplc="097C4F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91616AA"/>
    <w:multiLevelType w:val="hybridMultilevel"/>
    <w:tmpl w:val="7236E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253240"/>
    <w:multiLevelType w:val="hybridMultilevel"/>
    <w:tmpl w:val="19BE0A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566A72"/>
    <w:multiLevelType w:val="hybridMultilevel"/>
    <w:tmpl w:val="D7848BF2"/>
    <w:lvl w:ilvl="0" w:tplc="44329CCC">
      <w:start w:val="1"/>
      <w:numFmt w:val="bullet"/>
      <w:lvlText w:val="•"/>
      <w:lvlJc w:val="left"/>
      <w:pPr>
        <w:tabs>
          <w:tab w:val="num" w:pos="720"/>
        </w:tabs>
        <w:ind w:left="720" w:hanging="360"/>
      </w:pPr>
      <w:rPr>
        <w:rFonts w:ascii="Arial" w:hAnsi="Arial" w:hint="default"/>
      </w:rPr>
    </w:lvl>
    <w:lvl w:ilvl="1" w:tplc="BB6A447C" w:tentative="1">
      <w:start w:val="1"/>
      <w:numFmt w:val="bullet"/>
      <w:lvlText w:val="•"/>
      <w:lvlJc w:val="left"/>
      <w:pPr>
        <w:tabs>
          <w:tab w:val="num" w:pos="1440"/>
        </w:tabs>
        <w:ind w:left="1440" w:hanging="360"/>
      </w:pPr>
      <w:rPr>
        <w:rFonts w:ascii="Arial" w:hAnsi="Arial" w:hint="default"/>
      </w:rPr>
    </w:lvl>
    <w:lvl w:ilvl="2" w:tplc="CD8E44D2" w:tentative="1">
      <w:start w:val="1"/>
      <w:numFmt w:val="bullet"/>
      <w:lvlText w:val="•"/>
      <w:lvlJc w:val="left"/>
      <w:pPr>
        <w:tabs>
          <w:tab w:val="num" w:pos="2160"/>
        </w:tabs>
        <w:ind w:left="2160" w:hanging="360"/>
      </w:pPr>
      <w:rPr>
        <w:rFonts w:ascii="Arial" w:hAnsi="Arial" w:hint="default"/>
      </w:rPr>
    </w:lvl>
    <w:lvl w:ilvl="3" w:tplc="B058A702" w:tentative="1">
      <w:start w:val="1"/>
      <w:numFmt w:val="bullet"/>
      <w:lvlText w:val="•"/>
      <w:lvlJc w:val="left"/>
      <w:pPr>
        <w:tabs>
          <w:tab w:val="num" w:pos="2880"/>
        </w:tabs>
        <w:ind w:left="2880" w:hanging="360"/>
      </w:pPr>
      <w:rPr>
        <w:rFonts w:ascii="Arial" w:hAnsi="Arial" w:hint="default"/>
      </w:rPr>
    </w:lvl>
    <w:lvl w:ilvl="4" w:tplc="6C08CD70" w:tentative="1">
      <w:start w:val="1"/>
      <w:numFmt w:val="bullet"/>
      <w:lvlText w:val="•"/>
      <w:lvlJc w:val="left"/>
      <w:pPr>
        <w:tabs>
          <w:tab w:val="num" w:pos="3600"/>
        </w:tabs>
        <w:ind w:left="3600" w:hanging="360"/>
      </w:pPr>
      <w:rPr>
        <w:rFonts w:ascii="Arial" w:hAnsi="Arial" w:hint="default"/>
      </w:rPr>
    </w:lvl>
    <w:lvl w:ilvl="5" w:tplc="CA884DF2" w:tentative="1">
      <w:start w:val="1"/>
      <w:numFmt w:val="bullet"/>
      <w:lvlText w:val="•"/>
      <w:lvlJc w:val="left"/>
      <w:pPr>
        <w:tabs>
          <w:tab w:val="num" w:pos="4320"/>
        </w:tabs>
        <w:ind w:left="4320" w:hanging="360"/>
      </w:pPr>
      <w:rPr>
        <w:rFonts w:ascii="Arial" w:hAnsi="Arial" w:hint="default"/>
      </w:rPr>
    </w:lvl>
    <w:lvl w:ilvl="6" w:tplc="CED6735E" w:tentative="1">
      <w:start w:val="1"/>
      <w:numFmt w:val="bullet"/>
      <w:lvlText w:val="•"/>
      <w:lvlJc w:val="left"/>
      <w:pPr>
        <w:tabs>
          <w:tab w:val="num" w:pos="5040"/>
        </w:tabs>
        <w:ind w:left="5040" w:hanging="360"/>
      </w:pPr>
      <w:rPr>
        <w:rFonts w:ascii="Arial" w:hAnsi="Arial" w:hint="default"/>
      </w:rPr>
    </w:lvl>
    <w:lvl w:ilvl="7" w:tplc="7834D23A" w:tentative="1">
      <w:start w:val="1"/>
      <w:numFmt w:val="bullet"/>
      <w:lvlText w:val="•"/>
      <w:lvlJc w:val="left"/>
      <w:pPr>
        <w:tabs>
          <w:tab w:val="num" w:pos="5760"/>
        </w:tabs>
        <w:ind w:left="5760" w:hanging="360"/>
      </w:pPr>
      <w:rPr>
        <w:rFonts w:ascii="Arial" w:hAnsi="Arial" w:hint="default"/>
      </w:rPr>
    </w:lvl>
    <w:lvl w:ilvl="8" w:tplc="7EF280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4243CAF"/>
    <w:multiLevelType w:val="hybridMultilevel"/>
    <w:tmpl w:val="938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17A07"/>
    <w:multiLevelType w:val="hybridMultilevel"/>
    <w:tmpl w:val="19ECD802"/>
    <w:lvl w:ilvl="0" w:tplc="76DEA670">
      <w:start w:val="1"/>
      <w:numFmt w:val="bullet"/>
      <w:lvlText w:val=""/>
      <w:lvlJc w:val="left"/>
      <w:pPr>
        <w:ind w:left="284" w:hanging="284"/>
      </w:pPr>
      <w:rPr>
        <w:rFonts w:ascii="Symbol" w:hAnsi="Symbol" w:hint="default"/>
        <w:color w:val="FFC000" w:themeColor="accent4"/>
      </w:rPr>
    </w:lvl>
    <w:lvl w:ilvl="1" w:tplc="DA5A435C">
      <w:start w:val="1"/>
      <w:numFmt w:val="bullet"/>
      <w:lvlText w:val="-"/>
      <w:lvlJc w:val="left"/>
      <w:pPr>
        <w:ind w:left="567" w:hanging="283"/>
      </w:pPr>
      <w:rPr>
        <w:rFonts w:ascii="Courier New" w:hAnsi="Courier New" w:hint="default"/>
        <w:color w:val="4472C4" w:themeColor="accent5"/>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1746258"/>
    <w:multiLevelType w:val="multilevel"/>
    <w:tmpl w:val="0568C422"/>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webHidden w:val="0"/>
        <w:color w:val="000000"/>
        <w:sz w:val="20"/>
        <w:u w:val="none"/>
        <w:effect w:val="none"/>
        <w:vertAlign w:val="baseline"/>
        <w:specVanish w:val="0"/>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webHidden w:val="0"/>
        <w:color w:val="000000"/>
        <w:sz w:val="20"/>
        <w:u w:val="none"/>
        <w:effect w:val="none"/>
        <w:vertAlign w:val="baseline"/>
        <w:specVanish w:val="0"/>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webHidden w:val="0"/>
        <w:color w:val="000000"/>
        <w:sz w:val="22"/>
        <w:u w:val="none"/>
        <w:effect w:val="none"/>
        <w:vertAlign w:val="baseline"/>
        <w:specVanish w:val="0"/>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webHidden w:val="0"/>
        <w:color w:val="000000"/>
        <w:sz w:val="22"/>
        <w:u w:val="none"/>
        <w:effect w:val="none"/>
        <w:vertAlign w:val="baseline"/>
        <w:specVanish w:val="0"/>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webHidden w:val="0"/>
        <w:color w:val="000000"/>
        <w:sz w:val="22"/>
        <w:u w:val="none"/>
        <w:effect w:val="none"/>
        <w:vertAlign w:val="baseline"/>
        <w:specVanish w:val="0"/>
      </w:rPr>
    </w:lvl>
    <w:lvl w:ilvl="5">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rPr>
    </w:lvl>
    <w:lvl w:ilvl="6">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rPr>
    </w:lvl>
    <w:lvl w:ilvl="7">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rPr>
    </w:lvl>
    <w:lvl w:ilvl="8">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rPr>
    </w:lvl>
  </w:abstractNum>
  <w:abstractNum w:abstractNumId="15" w15:restartNumberingAfterBreak="0">
    <w:nsid w:val="64304E81"/>
    <w:multiLevelType w:val="hybridMultilevel"/>
    <w:tmpl w:val="9E92E5CE"/>
    <w:lvl w:ilvl="0" w:tplc="0B0E9604">
      <w:start w:val="1"/>
      <w:numFmt w:val="decimal"/>
      <w:lvlText w:val="(%1)"/>
      <w:lvlJc w:val="left"/>
      <w:pPr>
        <w:ind w:left="1800" w:hanging="360"/>
      </w:pPr>
      <w:rPr>
        <w:rFonts w:eastAsia="Calibri"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6" w15:restartNumberingAfterBreak="0">
    <w:nsid w:val="6A7B2DF8"/>
    <w:multiLevelType w:val="hybridMultilevel"/>
    <w:tmpl w:val="90408500"/>
    <w:lvl w:ilvl="0" w:tplc="CAF48CFA">
      <w:start w:val="1"/>
      <w:numFmt w:val="bullet"/>
      <w:lvlText w:val="•"/>
      <w:lvlJc w:val="left"/>
      <w:pPr>
        <w:tabs>
          <w:tab w:val="num" w:pos="720"/>
        </w:tabs>
        <w:ind w:left="720" w:hanging="360"/>
      </w:pPr>
      <w:rPr>
        <w:rFonts w:ascii="Arial" w:hAnsi="Arial" w:hint="default"/>
      </w:rPr>
    </w:lvl>
    <w:lvl w:ilvl="1" w:tplc="BFAA8E7A" w:tentative="1">
      <w:start w:val="1"/>
      <w:numFmt w:val="bullet"/>
      <w:lvlText w:val="•"/>
      <w:lvlJc w:val="left"/>
      <w:pPr>
        <w:tabs>
          <w:tab w:val="num" w:pos="1440"/>
        </w:tabs>
        <w:ind w:left="1440" w:hanging="360"/>
      </w:pPr>
      <w:rPr>
        <w:rFonts w:ascii="Arial" w:hAnsi="Arial" w:hint="default"/>
      </w:rPr>
    </w:lvl>
    <w:lvl w:ilvl="2" w:tplc="6D3E4EA0" w:tentative="1">
      <w:start w:val="1"/>
      <w:numFmt w:val="bullet"/>
      <w:lvlText w:val="•"/>
      <w:lvlJc w:val="left"/>
      <w:pPr>
        <w:tabs>
          <w:tab w:val="num" w:pos="2160"/>
        </w:tabs>
        <w:ind w:left="2160" w:hanging="360"/>
      </w:pPr>
      <w:rPr>
        <w:rFonts w:ascii="Arial" w:hAnsi="Arial" w:hint="default"/>
      </w:rPr>
    </w:lvl>
    <w:lvl w:ilvl="3" w:tplc="BC4A0BA0" w:tentative="1">
      <w:start w:val="1"/>
      <w:numFmt w:val="bullet"/>
      <w:lvlText w:val="•"/>
      <w:lvlJc w:val="left"/>
      <w:pPr>
        <w:tabs>
          <w:tab w:val="num" w:pos="2880"/>
        </w:tabs>
        <w:ind w:left="2880" w:hanging="360"/>
      </w:pPr>
      <w:rPr>
        <w:rFonts w:ascii="Arial" w:hAnsi="Arial" w:hint="default"/>
      </w:rPr>
    </w:lvl>
    <w:lvl w:ilvl="4" w:tplc="7D94FA82" w:tentative="1">
      <w:start w:val="1"/>
      <w:numFmt w:val="bullet"/>
      <w:lvlText w:val="•"/>
      <w:lvlJc w:val="left"/>
      <w:pPr>
        <w:tabs>
          <w:tab w:val="num" w:pos="3600"/>
        </w:tabs>
        <w:ind w:left="3600" w:hanging="360"/>
      </w:pPr>
      <w:rPr>
        <w:rFonts w:ascii="Arial" w:hAnsi="Arial" w:hint="default"/>
      </w:rPr>
    </w:lvl>
    <w:lvl w:ilvl="5" w:tplc="DFB2340A" w:tentative="1">
      <w:start w:val="1"/>
      <w:numFmt w:val="bullet"/>
      <w:lvlText w:val="•"/>
      <w:lvlJc w:val="left"/>
      <w:pPr>
        <w:tabs>
          <w:tab w:val="num" w:pos="4320"/>
        </w:tabs>
        <w:ind w:left="4320" w:hanging="360"/>
      </w:pPr>
      <w:rPr>
        <w:rFonts w:ascii="Arial" w:hAnsi="Arial" w:hint="default"/>
      </w:rPr>
    </w:lvl>
    <w:lvl w:ilvl="6" w:tplc="D5E8A90C" w:tentative="1">
      <w:start w:val="1"/>
      <w:numFmt w:val="bullet"/>
      <w:lvlText w:val="•"/>
      <w:lvlJc w:val="left"/>
      <w:pPr>
        <w:tabs>
          <w:tab w:val="num" w:pos="5040"/>
        </w:tabs>
        <w:ind w:left="5040" w:hanging="360"/>
      </w:pPr>
      <w:rPr>
        <w:rFonts w:ascii="Arial" w:hAnsi="Arial" w:hint="default"/>
      </w:rPr>
    </w:lvl>
    <w:lvl w:ilvl="7" w:tplc="C756AE28" w:tentative="1">
      <w:start w:val="1"/>
      <w:numFmt w:val="bullet"/>
      <w:lvlText w:val="•"/>
      <w:lvlJc w:val="left"/>
      <w:pPr>
        <w:tabs>
          <w:tab w:val="num" w:pos="5760"/>
        </w:tabs>
        <w:ind w:left="5760" w:hanging="360"/>
      </w:pPr>
      <w:rPr>
        <w:rFonts w:ascii="Arial" w:hAnsi="Arial" w:hint="default"/>
      </w:rPr>
    </w:lvl>
    <w:lvl w:ilvl="8" w:tplc="BA40985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C181BEC"/>
    <w:multiLevelType w:val="multilevel"/>
    <w:tmpl w:val="1E1442F8"/>
    <w:lvl w:ilvl="0">
      <w:start w:val="1"/>
      <w:numFmt w:val="decimal"/>
      <w:pStyle w:val="ACLevel1"/>
      <w:lvlText w:val="%1."/>
      <w:lvlJc w:val="left"/>
      <w:pPr>
        <w:tabs>
          <w:tab w:val="num" w:pos="720"/>
        </w:tabs>
        <w:ind w:left="720" w:hanging="720"/>
      </w:pPr>
      <w:rPr>
        <w:rFonts w:ascii="Times New Roman" w:hAnsi="Times New Roman" w:hint="default"/>
        <w:b w:val="0"/>
        <w:i w:val="0"/>
        <w:caps w:val="0"/>
        <w:smallCaps w:val="0"/>
        <w:strike w:val="0"/>
        <w:dstrike w:val="0"/>
        <w:vanish w:val="0"/>
        <w:color w:val="000000"/>
        <w:sz w:val="20"/>
        <w:u w:val="none"/>
        <w:effect w:val="none"/>
        <w:vertAlign w:val="baseline"/>
      </w:rPr>
    </w:lvl>
    <w:lvl w:ilvl="1">
      <w:start w:val="1"/>
      <w:numFmt w:val="decimal"/>
      <w:pStyle w:val="ACLevel2"/>
      <w:isLgl/>
      <w:lvlText w:val="%1.%2"/>
      <w:lvlJc w:val="left"/>
      <w:pPr>
        <w:tabs>
          <w:tab w:val="num" w:pos="1440"/>
        </w:tabs>
        <w:ind w:left="1440" w:hanging="720"/>
      </w:pPr>
      <w:rPr>
        <w:rFonts w:hint="default"/>
        <w:b w:val="0"/>
        <w:i w:val="0"/>
        <w:caps w:val="0"/>
        <w:smallCaps w:val="0"/>
        <w:strike w:val="0"/>
        <w:dstrike w:val="0"/>
        <w:vanish w:val="0"/>
        <w:color w:val="000000"/>
        <w:sz w:val="20"/>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hint="default"/>
        <w:b w:val="0"/>
        <w:i w:val="0"/>
        <w:caps w:val="0"/>
        <w:smallCaps w:val="0"/>
        <w:strike w:val="0"/>
        <w:dstrike w:val="0"/>
        <w:vanish w:val="0"/>
        <w:color w:val="000000"/>
        <w:sz w:val="20"/>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hint="default"/>
        <w:b w:val="0"/>
        <w:i w:val="0"/>
        <w:caps w:val="0"/>
        <w:smallCaps w:val="0"/>
        <w:strike w:val="0"/>
        <w:dstrike w:val="0"/>
        <w:vanish w:val="0"/>
        <w:color w:val="000000"/>
        <w:sz w:val="20"/>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hint="default"/>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abstractNum>
  <w:abstractNum w:abstractNumId="18" w15:restartNumberingAfterBreak="0">
    <w:nsid w:val="722D0277"/>
    <w:multiLevelType w:val="hybridMultilevel"/>
    <w:tmpl w:val="7F2E8776"/>
    <w:lvl w:ilvl="0" w:tplc="21F62348">
      <w:start w:val="1"/>
      <w:numFmt w:val="bullet"/>
      <w:lvlText w:val="•"/>
      <w:lvlJc w:val="left"/>
      <w:pPr>
        <w:tabs>
          <w:tab w:val="num" w:pos="720"/>
        </w:tabs>
        <w:ind w:left="720" w:hanging="360"/>
      </w:pPr>
      <w:rPr>
        <w:rFonts w:ascii="Arial" w:hAnsi="Arial" w:hint="default"/>
      </w:rPr>
    </w:lvl>
    <w:lvl w:ilvl="1" w:tplc="FDE01652" w:tentative="1">
      <w:start w:val="1"/>
      <w:numFmt w:val="bullet"/>
      <w:lvlText w:val="•"/>
      <w:lvlJc w:val="left"/>
      <w:pPr>
        <w:tabs>
          <w:tab w:val="num" w:pos="1440"/>
        </w:tabs>
        <w:ind w:left="1440" w:hanging="360"/>
      </w:pPr>
      <w:rPr>
        <w:rFonts w:ascii="Arial" w:hAnsi="Arial" w:hint="default"/>
      </w:rPr>
    </w:lvl>
    <w:lvl w:ilvl="2" w:tplc="8B5270E4" w:tentative="1">
      <w:start w:val="1"/>
      <w:numFmt w:val="bullet"/>
      <w:lvlText w:val="•"/>
      <w:lvlJc w:val="left"/>
      <w:pPr>
        <w:tabs>
          <w:tab w:val="num" w:pos="2160"/>
        </w:tabs>
        <w:ind w:left="2160" w:hanging="360"/>
      </w:pPr>
      <w:rPr>
        <w:rFonts w:ascii="Arial" w:hAnsi="Arial" w:hint="default"/>
      </w:rPr>
    </w:lvl>
    <w:lvl w:ilvl="3" w:tplc="4F40C27E" w:tentative="1">
      <w:start w:val="1"/>
      <w:numFmt w:val="bullet"/>
      <w:lvlText w:val="•"/>
      <w:lvlJc w:val="left"/>
      <w:pPr>
        <w:tabs>
          <w:tab w:val="num" w:pos="2880"/>
        </w:tabs>
        <w:ind w:left="2880" w:hanging="360"/>
      </w:pPr>
      <w:rPr>
        <w:rFonts w:ascii="Arial" w:hAnsi="Arial" w:hint="default"/>
      </w:rPr>
    </w:lvl>
    <w:lvl w:ilvl="4" w:tplc="FA3A0EA2" w:tentative="1">
      <w:start w:val="1"/>
      <w:numFmt w:val="bullet"/>
      <w:lvlText w:val="•"/>
      <w:lvlJc w:val="left"/>
      <w:pPr>
        <w:tabs>
          <w:tab w:val="num" w:pos="3600"/>
        </w:tabs>
        <w:ind w:left="3600" w:hanging="360"/>
      </w:pPr>
      <w:rPr>
        <w:rFonts w:ascii="Arial" w:hAnsi="Arial" w:hint="default"/>
      </w:rPr>
    </w:lvl>
    <w:lvl w:ilvl="5" w:tplc="D1ECECE2" w:tentative="1">
      <w:start w:val="1"/>
      <w:numFmt w:val="bullet"/>
      <w:lvlText w:val="•"/>
      <w:lvlJc w:val="left"/>
      <w:pPr>
        <w:tabs>
          <w:tab w:val="num" w:pos="4320"/>
        </w:tabs>
        <w:ind w:left="4320" w:hanging="360"/>
      </w:pPr>
      <w:rPr>
        <w:rFonts w:ascii="Arial" w:hAnsi="Arial" w:hint="default"/>
      </w:rPr>
    </w:lvl>
    <w:lvl w:ilvl="6" w:tplc="4F8C25C8" w:tentative="1">
      <w:start w:val="1"/>
      <w:numFmt w:val="bullet"/>
      <w:lvlText w:val="•"/>
      <w:lvlJc w:val="left"/>
      <w:pPr>
        <w:tabs>
          <w:tab w:val="num" w:pos="5040"/>
        </w:tabs>
        <w:ind w:left="5040" w:hanging="360"/>
      </w:pPr>
      <w:rPr>
        <w:rFonts w:ascii="Arial" w:hAnsi="Arial" w:hint="default"/>
      </w:rPr>
    </w:lvl>
    <w:lvl w:ilvl="7" w:tplc="ABF09F02" w:tentative="1">
      <w:start w:val="1"/>
      <w:numFmt w:val="bullet"/>
      <w:lvlText w:val="•"/>
      <w:lvlJc w:val="left"/>
      <w:pPr>
        <w:tabs>
          <w:tab w:val="num" w:pos="5760"/>
        </w:tabs>
        <w:ind w:left="5760" w:hanging="360"/>
      </w:pPr>
      <w:rPr>
        <w:rFonts w:ascii="Arial" w:hAnsi="Arial" w:hint="default"/>
      </w:rPr>
    </w:lvl>
    <w:lvl w:ilvl="8" w:tplc="83389C5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89A0116"/>
    <w:multiLevelType w:val="hybridMultilevel"/>
    <w:tmpl w:val="E85CCD0E"/>
    <w:lvl w:ilvl="0" w:tplc="52ECC3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F02271"/>
    <w:multiLevelType w:val="hybridMultilevel"/>
    <w:tmpl w:val="F00CA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C5631"/>
    <w:multiLevelType w:val="hybridMultilevel"/>
    <w:tmpl w:val="B8DC7042"/>
    <w:lvl w:ilvl="0" w:tplc="26529FC4">
      <w:start w:val="1"/>
      <w:numFmt w:val="decimal"/>
      <w:lvlText w:val="%1."/>
      <w:lvlJc w:val="left"/>
      <w:pPr>
        <w:ind w:left="720" w:hanging="360"/>
      </w:pPr>
      <w:rPr>
        <w:rFonts w:eastAsia="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6E27D6"/>
    <w:multiLevelType w:val="hybridMultilevel"/>
    <w:tmpl w:val="E14CB1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2"/>
  </w:num>
  <w:num w:numId="4">
    <w:abstractNumId w:val="20"/>
  </w:num>
  <w:num w:numId="5">
    <w:abstractNumId w:val="1"/>
  </w:num>
  <w:num w:numId="6">
    <w:abstractNumId w:val="11"/>
  </w:num>
  <w:num w:numId="7">
    <w:abstractNumId w:val="0"/>
  </w:num>
  <w:num w:numId="8">
    <w:abstractNumId w:val="18"/>
  </w:num>
  <w:num w:numId="9">
    <w:abstractNumId w:val="16"/>
  </w:num>
  <w:num w:numId="10">
    <w:abstractNumId w:val="8"/>
  </w:num>
  <w:num w:numId="11">
    <w:abstractNumId w:val="5"/>
  </w:num>
  <w:num w:numId="12">
    <w:abstractNumId w:val="1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22"/>
  </w:num>
  <w:num w:numId="16">
    <w:abstractNumId w:val="7"/>
  </w:num>
  <w:num w:numId="17">
    <w:abstractNumId w:val="14"/>
  </w:num>
  <w:num w:numId="18">
    <w:abstractNumId w:val="17"/>
  </w:num>
  <w:num w:numId="19">
    <w:abstractNumId w:val="15"/>
  </w:num>
  <w:num w:numId="20">
    <w:abstractNumId w:val="4"/>
  </w:num>
  <w:num w:numId="21">
    <w:abstractNumId w:val="19"/>
  </w:num>
  <w:num w:numId="22">
    <w:abstractNumId w:val="6"/>
  </w:num>
  <w:num w:numId="23">
    <w:abstractNumId w:val="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41E"/>
    <w:rsid w:val="00006336"/>
    <w:rsid w:val="00047E24"/>
    <w:rsid w:val="00061CBF"/>
    <w:rsid w:val="00061E5E"/>
    <w:rsid w:val="000718C6"/>
    <w:rsid w:val="000774DE"/>
    <w:rsid w:val="0008315F"/>
    <w:rsid w:val="00087935"/>
    <w:rsid w:val="00093687"/>
    <w:rsid w:val="00093D9E"/>
    <w:rsid w:val="000A02FB"/>
    <w:rsid w:val="000A11B2"/>
    <w:rsid w:val="000A172D"/>
    <w:rsid w:val="000A49AF"/>
    <w:rsid w:val="000B5A7C"/>
    <w:rsid w:val="00127FB7"/>
    <w:rsid w:val="00131223"/>
    <w:rsid w:val="00146713"/>
    <w:rsid w:val="00184895"/>
    <w:rsid w:val="00186036"/>
    <w:rsid w:val="00192DBD"/>
    <w:rsid w:val="00192F60"/>
    <w:rsid w:val="001C126D"/>
    <w:rsid w:val="001D595C"/>
    <w:rsid w:val="001E19BA"/>
    <w:rsid w:val="001E430A"/>
    <w:rsid w:val="001E5DBC"/>
    <w:rsid w:val="001F441E"/>
    <w:rsid w:val="00210125"/>
    <w:rsid w:val="002169E7"/>
    <w:rsid w:val="00226908"/>
    <w:rsid w:val="00256AF7"/>
    <w:rsid w:val="002610BC"/>
    <w:rsid w:val="00272BD8"/>
    <w:rsid w:val="00276A81"/>
    <w:rsid w:val="00280A15"/>
    <w:rsid w:val="00281AFF"/>
    <w:rsid w:val="00284002"/>
    <w:rsid w:val="0029635A"/>
    <w:rsid w:val="002A08D2"/>
    <w:rsid w:val="002A765E"/>
    <w:rsid w:val="002C08B2"/>
    <w:rsid w:val="002C0FAB"/>
    <w:rsid w:val="002C167F"/>
    <w:rsid w:val="002C3760"/>
    <w:rsid w:val="002C570F"/>
    <w:rsid w:val="002F0EEB"/>
    <w:rsid w:val="002F1DF4"/>
    <w:rsid w:val="002F733C"/>
    <w:rsid w:val="003078DA"/>
    <w:rsid w:val="00321F5D"/>
    <w:rsid w:val="00324EB6"/>
    <w:rsid w:val="00330419"/>
    <w:rsid w:val="0033542C"/>
    <w:rsid w:val="00341339"/>
    <w:rsid w:val="003458C2"/>
    <w:rsid w:val="0036706D"/>
    <w:rsid w:val="00372CDC"/>
    <w:rsid w:val="003A0B38"/>
    <w:rsid w:val="003A57F5"/>
    <w:rsid w:val="003A6CEA"/>
    <w:rsid w:val="003B6A27"/>
    <w:rsid w:val="003C37F4"/>
    <w:rsid w:val="003C7203"/>
    <w:rsid w:val="003F0421"/>
    <w:rsid w:val="00410500"/>
    <w:rsid w:val="00436AF9"/>
    <w:rsid w:val="00442111"/>
    <w:rsid w:val="0045402E"/>
    <w:rsid w:val="00463077"/>
    <w:rsid w:val="00470571"/>
    <w:rsid w:val="004868F7"/>
    <w:rsid w:val="00494A35"/>
    <w:rsid w:val="00495F79"/>
    <w:rsid w:val="004A1D2B"/>
    <w:rsid w:val="004A2D30"/>
    <w:rsid w:val="004C7431"/>
    <w:rsid w:val="004D01BA"/>
    <w:rsid w:val="004F092A"/>
    <w:rsid w:val="004F7E9B"/>
    <w:rsid w:val="00546252"/>
    <w:rsid w:val="00550FD9"/>
    <w:rsid w:val="00555570"/>
    <w:rsid w:val="00582852"/>
    <w:rsid w:val="00595A66"/>
    <w:rsid w:val="00596075"/>
    <w:rsid w:val="005A428E"/>
    <w:rsid w:val="005B2635"/>
    <w:rsid w:val="005C13DD"/>
    <w:rsid w:val="005C2D73"/>
    <w:rsid w:val="005C33C2"/>
    <w:rsid w:val="005F0E40"/>
    <w:rsid w:val="005F5FA9"/>
    <w:rsid w:val="0063603F"/>
    <w:rsid w:val="00640B4A"/>
    <w:rsid w:val="00683993"/>
    <w:rsid w:val="00684817"/>
    <w:rsid w:val="00685E7A"/>
    <w:rsid w:val="006957A7"/>
    <w:rsid w:val="006B16CB"/>
    <w:rsid w:val="006C2618"/>
    <w:rsid w:val="006C29E1"/>
    <w:rsid w:val="006C5E94"/>
    <w:rsid w:val="0071795D"/>
    <w:rsid w:val="00720CE9"/>
    <w:rsid w:val="00723DB6"/>
    <w:rsid w:val="00731547"/>
    <w:rsid w:val="00737FBE"/>
    <w:rsid w:val="0074164A"/>
    <w:rsid w:val="00747916"/>
    <w:rsid w:val="00750EC6"/>
    <w:rsid w:val="00760F0D"/>
    <w:rsid w:val="0076429E"/>
    <w:rsid w:val="0076749C"/>
    <w:rsid w:val="00780968"/>
    <w:rsid w:val="007838B5"/>
    <w:rsid w:val="007A1136"/>
    <w:rsid w:val="007A38BE"/>
    <w:rsid w:val="007A5D32"/>
    <w:rsid w:val="007C364D"/>
    <w:rsid w:val="007C4240"/>
    <w:rsid w:val="007D104D"/>
    <w:rsid w:val="007D6E19"/>
    <w:rsid w:val="007D76C6"/>
    <w:rsid w:val="0080523D"/>
    <w:rsid w:val="00806C8E"/>
    <w:rsid w:val="00830D8A"/>
    <w:rsid w:val="0083317A"/>
    <w:rsid w:val="00841C6B"/>
    <w:rsid w:val="008467E8"/>
    <w:rsid w:val="00847E4E"/>
    <w:rsid w:val="00866C6C"/>
    <w:rsid w:val="008744BA"/>
    <w:rsid w:val="0088301A"/>
    <w:rsid w:val="00885018"/>
    <w:rsid w:val="008A0219"/>
    <w:rsid w:val="008A4EF3"/>
    <w:rsid w:val="008B1C9D"/>
    <w:rsid w:val="008B21C6"/>
    <w:rsid w:val="008C6693"/>
    <w:rsid w:val="009028AD"/>
    <w:rsid w:val="0091701F"/>
    <w:rsid w:val="009263D2"/>
    <w:rsid w:val="00927EA3"/>
    <w:rsid w:val="009300F9"/>
    <w:rsid w:val="00936271"/>
    <w:rsid w:val="00941E68"/>
    <w:rsid w:val="009615E9"/>
    <w:rsid w:val="00965288"/>
    <w:rsid w:val="0096684D"/>
    <w:rsid w:val="00975101"/>
    <w:rsid w:val="009777D4"/>
    <w:rsid w:val="00982379"/>
    <w:rsid w:val="00986748"/>
    <w:rsid w:val="009872B1"/>
    <w:rsid w:val="00995B7F"/>
    <w:rsid w:val="00996C95"/>
    <w:rsid w:val="0099729B"/>
    <w:rsid w:val="009A3B74"/>
    <w:rsid w:val="009C3D82"/>
    <w:rsid w:val="009D0398"/>
    <w:rsid w:val="009D390D"/>
    <w:rsid w:val="00A03E82"/>
    <w:rsid w:val="00A113F1"/>
    <w:rsid w:val="00A26603"/>
    <w:rsid w:val="00A34684"/>
    <w:rsid w:val="00A45B95"/>
    <w:rsid w:val="00A55C4D"/>
    <w:rsid w:val="00A56FD1"/>
    <w:rsid w:val="00A61233"/>
    <w:rsid w:val="00A63ED7"/>
    <w:rsid w:val="00A6566C"/>
    <w:rsid w:val="00A727E4"/>
    <w:rsid w:val="00A855B0"/>
    <w:rsid w:val="00A857EE"/>
    <w:rsid w:val="00A85BC0"/>
    <w:rsid w:val="00A86381"/>
    <w:rsid w:val="00A9401E"/>
    <w:rsid w:val="00A95AE8"/>
    <w:rsid w:val="00AB73C5"/>
    <w:rsid w:val="00AB7BD7"/>
    <w:rsid w:val="00AC0690"/>
    <w:rsid w:val="00AD052F"/>
    <w:rsid w:val="00AE64C5"/>
    <w:rsid w:val="00AF7BA7"/>
    <w:rsid w:val="00B01CF0"/>
    <w:rsid w:val="00B12C47"/>
    <w:rsid w:val="00B440AC"/>
    <w:rsid w:val="00B504F0"/>
    <w:rsid w:val="00B52AAE"/>
    <w:rsid w:val="00B601FA"/>
    <w:rsid w:val="00B605FD"/>
    <w:rsid w:val="00B613F1"/>
    <w:rsid w:val="00B65942"/>
    <w:rsid w:val="00B65A4E"/>
    <w:rsid w:val="00B82E2F"/>
    <w:rsid w:val="00BA3B2B"/>
    <w:rsid w:val="00BA760F"/>
    <w:rsid w:val="00BB1B59"/>
    <w:rsid w:val="00BB5C05"/>
    <w:rsid w:val="00BC59D6"/>
    <w:rsid w:val="00BD30A1"/>
    <w:rsid w:val="00BE053D"/>
    <w:rsid w:val="00BF6E6D"/>
    <w:rsid w:val="00C01B24"/>
    <w:rsid w:val="00C06800"/>
    <w:rsid w:val="00C345BD"/>
    <w:rsid w:val="00C372C7"/>
    <w:rsid w:val="00C41735"/>
    <w:rsid w:val="00C44281"/>
    <w:rsid w:val="00C52E50"/>
    <w:rsid w:val="00C56D7F"/>
    <w:rsid w:val="00C65443"/>
    <w:rsid w:val="00C66139"/>
    <w:rsid w:val="00C7582D"/>
    <w:rsid w:val="00CC3CFA"/>
    <w:rsid w:val="00CC5317"/>
    <w:rsid w:val="00CD265E"/>
    <w:rsid w:val="00CD37F5"/>
    <w:rsid w:val="00CD5858"/>
    <w:rsid w:val="00CF427B"/>
    <w:rsid w:val="00D002CC"/>
    <w:rsid w:val="00D02215"/>
    <w:rsid w:val="00D17DB0"/>
    <w:rsid w:val="00D254F5"/>
    <w:rsid w:val="00D30792"/>
    <w:rsid w:val="00D41F28"/>
    <w:rsid w:val="00D52441"/>
    <w:rsid w:val="00D53849"/>
    <w:rsid w:val="00D64CC9"/>
    <w:rsid w:val="00D73A5A"/>
    <w:rsid w:val="00D779F3"/>
    <w:rsid w:val="00D837A4"/>
    <w:rsid w:val="00D83FFB"/>
    <w:rsid w:val="00D85651"/>
    <w:rsid w:val="00D97D2F"/>
    <w:rsid w:val="00DA1032"/>
    <w:rsid w:val="00DA5E18"/>
    <w:rsid w:val="00DA6662"/>
    <w:rsid w:val="00DC62EF"/>
    <w:rsid w:val="00DE1F6A"/>
    <w:rsid w:val="00E0111C"/>
    <w:rsid w:val="00E04338"/>
    <w:rsid w:val="00E06DD3"/>
    <w:rsid w:val="00E132C8"/>
    <w:rsid w:val="00E14E42"/>
    <w:rsid w:val="00E230E6"/>
    <w:rsid w:val="00E40325"/>
    <w:rsid w:val="00E513CC"/>
    <w:rsid w:val="00E54396"/>
    <w:rsid w:val="00E7073C"/>
    <w:rsid w:val="00E710DF"/>
    <w:rsid w:val="00E80304"/>
    <w:rsid w:val="00EC2BA5"/>
    <w:rsid w:val="00ED0D9F"/>
    <w:rsid w:val="00ED2445"/>
    <w:rsid w:val="00EE20EB"/>
    <w:rsid w:val="00EE2166"/>
    <w:rsid w:val="00EF0F3D"/>
    <w:rsid w:val="00EF1E56"/>
    <w:rsid w:val="00F15323"/>
    <w:rsid w:val="00F42C44"/>
    <w:rsid w:val="00F449C0"/>
    <w:rsid w:val="00F61F0B"/>
    <w:rsid w:val="00F65ED0"/>
    <w:rsid w:val="00F71CF8"/>
    <w:rsid w:val="00FB4EC0"/>
    <w:rsid w:val="00FC5CE2"/>
    <w:rsid w:val="00FD1D36"/>
    <w:rsid w:val="00FD56EC"/>
    <w:rsid w:val="00FF5B0C"/>
    <w:rsid w:val="00FF6E3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44898"/>
  <w15:docId w15:val="{B7D4BAFC-3CA5-414A-A2BC-5AAFDEC5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F441E"/>
    <w:pPr>
      <w:spacing w:after="200" w:line="276" w:lineRule="auto"/>
    </w:pPr>
    <w:rPr>
      <w:lang w:val="en-NZ"/>
    </w:rPr>
  </w:style>
  <w:style w:type="paragraph" w:styleId="Heading1">
    <w:name w:val="heading 1"/>
    <w:basedOn w:val="Normal"/>
    <w:next w:val="Normal"/>
    <w:link w:val="Heading1Char"/>
    <w:uiPriority w:val="9"/>
    <w:qFormat/>
    <w:rsid w:val="001F441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41E"/>
    <w:rPr>
      <w:rFonts w:asciiTheme="majorHAnsi" w:eastAsiaTheme="majorEastAsia" w:hAnsiTheme="majorHAnsi" w:cstheme="majorBidi"/>
      <w:b/>
      <w:bCs/>
      <w:color w:val="2E74B5" w:themeColor="accent1" w:themeShade="BF"/>
      <w:sz w:val="28"/>
      <w:szCs w:val="28"/>
      <w:lang w:val="en-NZ"/>
    </w:rPr>
  </w:style>
  <w:style w:type="table" w:styleId="TableGrid">
    <w:name w:val="Table Grid"/>
    <w:basedOn w:val="TableNormal"/>
    <w:uiPriority w:val="59"/>
    <w:rsid w:val="001F441E"/>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oenixDocumentTitle">
    <w:name w:val="_Phoenix Document Title"/>
    <w:basedOn w:val="Heading10"/>
    <w:qFormat/>
    <w:rsid w:val="001F441E"/>
    <w:pPr>
      <w:tabs>
        <w:tab w:val="right" w:pos="9639"/>
      </w:tabs>
      <w:spacing w:after="480"/>
    </w:pPr>
    <w:rPr>
      <w:b w:val="0"/>
      <w:color w:val="000000" w:themeColor="text1"/>
      <w:sz w:val="24"/>
    </w:rPr>
  </w:style>
  <w:style w:type="paragraph" w:styleId="Header">
    <w:name w:val="header"/>
    <w:basedOn w:val="Normal"/>
    <w:link w:val="HeaderChar"/>
    <w:uiPriority w:val="99"/>
    <w:semiHidden/>
    <w:rsid w:val="001F441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441E"/>
    <w:rPr>
      <w:lang w:val="en-NZ"/>
    </w:rPr>
  </w:style>
  <w:style w:type="paragraph" w:styleId="Footer">
    <w:name w:val="footer"/>
    <w:basedOn w:val="Normal"/>
    <w:link w:val="FooterChar"/>
    <w:uiPriority w:val="99"/>
    <w:rsid w:val="001F44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41E"/>
    <w:rPr>
      <w:lang w:val="en-NZ"/>
    </w:rPr>
  </w:style>
  <w:style w:type="paragraph" w:customStyle="1" w:styleId="Bodytext">
    <w:name w:val="_Body text"/>
    <w:basedOn w:val="Normal"/>
    <w:qFormat/>
    <w:rsid w:val="001F441E"/>
    <w:pPr>
      <w:spacing w:after="160" w:line="240" w:lineRule="auto"/>
    </w:pPr>
    <w:rPr>
      <w:color w:val="000000" w:themeColor="text1"/>
      <w:sz w:val="20"/>
      <w:szCs w:val="20"/>
      <w:lang w:val="en-GB" w:eastAsia="en-NZ"/>
    </w:rPr>
  </w:style>
  <w:style w:type="paragraph" w:customStyle="1" w:styleId="Heading2">
    <w:name w:val="_Heading 2"/>
    <w:basedOn w:val="Bodytext"/>
    <w:next w:val="Bodytext"/>
    <w:qFormat/>
    <w:rsid w:val="001F441E"/>
    <w:pPr>
      <w:spacing w:after="240"/>
    </w:pPr>
    <w:rPr>
      <w:b/>
      <w:sz w:val="24"/>
      <w:szCs w:val="28"/>
    </w:rPr>
  </w:style>
  <w:style w:type="paragraph" w:customStyle="1" w:styleId="Bulletsymbollevel1">
    <w:name w:val="_Bullet_symbol_level 1"/>
    <w:basedOn w:val="Bodytext"/>
    <w:qFormat/>
    <w:rsid w:val="001F441E"/>
    <w:pPr>
      <w:spacing w:after="120"/>
    </w:pPr>
  </w:style>
  <w:style w:type="paragraph" w:customStyle="1" w:styleId="Heading10">
    <w:name w:val="_Heading 1"/>
    <w:basedOn w:val="Bodytext"/>
    <w:next w:val="Bodytext"/>
    <w:qFormat/>
    <w:rsid w:val="001F441E"/>
    <w:pPr>
      <w:spacing w:after="240"/>
    </w:pPr>
    <w:rPr>
      <w:b/>
      <w:color w:val="5B9BD5" w:themeColor="accent1"/>
      <w:sz w:val="32"/>
      <w:szCs w:val="40"/>
    </w:rPr>
  </w:style>
  <w:style w:type="paragraph" w:customStyle="1" w:styleId="Footer0">
    <w:name w:val="_Footer"/>
    <w:basedOn w:val="Normal"/>
    <w:semiHidden/>
    <w:qFormat/>
    <w:rsid w:val="001F441E"/>
    <w:pPr>
      <w:framePr w:wrap="notBeside" w:vAnchor="text" w:hAnchor="page" w:y="1"/>
      <w:tabs>
        <w:tab w:val="center" w:pos="4513"/>
        <w:tab w:val="right" w:pos="9026"/>
      </w:tabs>
      <w:spacing w:after="0" w:line="240" w:lineRule="auto"/>
      <w:suppressOverlap/>
      <w:jc w:val="center"/>
    </w:pPr>
    <w:rPr>
      <w:color w:val="9A9A99"/>
      <w:sz w:val="18"/>
      <w:szCs w:val="20"/>
      <w:lang w:val="en-GB"/>
    </w:rPr>
  </w:style>
  <w:style w:type="paragraph" w:customStyle="1" w:styleId="Pagenumber">
    <w:name w:val="_Page number"/>
    <w:basedOn w:val="Normal"/>
    <w:semiHidden/>
    <w:qFormat/>
    <w:rsid w:val="001F441E"/>
    <w:pPr>
      <w:framePr w:wrap="around" w:vAnchor="text" w:hAnchor="page" w:y="1"/>
      <w:tabs>
        <w:tab w:val="center" w:pos="4513"/>
        <w:tab w:val="right" w:pos="9026"/>
      </w:tabs>
      <w:spacing w:before="120" w:after="0" w:line="240" w:lineRule="auto"/>
      <w:suppressOverlap/>
      <w:jc w:val="right"/>
    </w:pPr>
    <w:rPr>
      <w:color w:val="000000" w:themeColor="text1"/>
      <w:sz w:val="16"/>
      <w:szCs w:val="20"/>
      <w:lang w:val="en-GB"/>
    </w:rPr>
  </w:style>
  <w:style w:type="character" w:customStyle="1" w:styleId="Highlightbold">
    <w:name w:val="_Highlight_bold"/>
    <w:uiPriority w:val="1"/>
    <w:qFormat/>
    <w:rsid w:val="001F441E"/>
    <w:rPr>
      <w:b/>
    </w:rPr>
  </w:style>
  <w:style w:type="paragraph" w:styleId="BodyText0">
    <w:name w:val="Body Text"/>
    <w:basedOn w:val="Normal"/>
    <w:link w:val="BodyTextChar"/>
    <w:uiPriority w:val="99"/>
    <w:unhideWhenUsed/>
    <w:rsid w:val="001F441E"/>
    <w:pPr>
      <w:spacing w:after="120"/>
    </w:pPr>
    <w:rPr>
      <w:rFonts w:eastAsiaTheme="minorEastAsia"/>
      <w:szCs w:val="20"/>
      <w:lang w:val="en-GB" w:eastAsia="zh-CN" w:bidi="hi-IN"/>
    </w:rPr>
  </w:style>
  <w:style w:type="character" w:customStyle="1" w:styleId="BodyTextChar">
    <w:name w:val="Body Text Char"/>
    <w:basedOn w:val="DefaultParagraphFont"/>
    <w:link w:val="BodyText0"/>
    <w:uiPriority w:val="99"/>
    <w:rsid w:val="001F441E"/>
    <w:rPr>
      <w:rFonts w:eastAsiaTheme="minorEastAsia"/>
      <w:szCs w:val="20"/>
      <w:lang w:eastAsia="zh-CN" w:bidi="hi-IN"/>
    </w:rPr>
  </w:style>
  <w:style w:type="paragraph" w:styleId="BalloonText">
    <w:name w:val="Balloon Text"/>
    <w:basedOn w:val="Normal"/>
    <w:link w:val="BalloonTextChar"/>
    <w:uiPriority w:val="99"/>
    <w:semiHidden/>
    <w:unhideWhenUsed/>
    <w:rsid w:val="001F44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41E"/>
    <w:rPr>
      <w:rFonts w:ascii="Tahoma" w:hAnsi="Tahoma" w:cs="Tahoma"/>
      <w:sz w:val="16"/>
      <w:szCs w:val="16"/>
      <w:lang w:val="en-NZ"/>
    </w:rPr>
  </w:style>
  <w:style w:type="paragraph" w:styleId="ListParagraph">
    <w:name w:val="List Paragraph"/>
    <w:basedOn w:val="Normal"/>
    <w:uiPriority w:val="34"/>
    <w:qFormat/>
    <w:rsid w:val="001F441E"/>
    <w:pPr>
      <w:ind w:left="720"/>
      <w:contextualSpacing/>
    </w:pPr>
  </w:style>
  <w:style w:type="character" w:styleId="Hyperlink">
    <w:name w:val="Hyperlink"/>
    <w:basedOn w:val="DefaultParagraphFont"/>
    <w:uiPriority w:val="99"/>
    <w:unhideWhenUsed/>
    <w:rsid w:val="001F441E"/>
    <w:rPr>
      <w:color w:val="0563C1" w:themeColor="hyperlink"/>
      <w:u w:val="single"/>
    </w:rPr>
  </w:style>
  <w:style w:type="paragraph" w:customStyle="1" w:styleId="ACBulletLv1">
    <w:name w:val="AC Bullet Lv 1"/>
    <w:basedOn w:val="Normal"/>
    <w:uiPriority w:val="99"/>
    <w:rsid w:val="001F441E"/>
    <w:pPr>
      <w:numPr>
        <w:numId w:val="12"/>
      </w:numPr>
      <w:adjustRightInd w:val="0"/>
      <w:spacing w:line="240" w:lineRule="auto"/>
      <w:jc w:val="both"/>
      <w:outlineLvl w:val="0"/>
    </w:pPr>
    <w:rPr>
      <w:rFonts w:ascii="Times New Roman" w:eastAsia="Times New Roman" w:hAnsi="Times New Roman" w:cs="Times New Roman"/>
      <w:sz w:val="20"/>
      <w:lang w:val="en-IE" w:eastAsia="en-IE"/>
    </w:rPr>
  </w:style>
  <w:style w:type="paragraph" w:customStyle="1" w:styleId="ACBulletLv2">
    <w:name w:val="AC Bullet Lv 2"/>
    <w:basedOn w:val="Normal"/>
    <w:uiPriority w:val="99"/>
    <w:rsid w:val="001F441E"/>
    <w:pPr>
      <w:numPr>
        <w:ilvl w:val="1"/>
        <w:numId w:val="12"/>
      </w:numPr>
      <w:adjustRightInd w:val="0"/>
      <w:spacing w:line="240" w:lineRule="auto"/>
      <w:jc w:val="both"/>
      <w:outlineLvl w:val="1"/>
    </w:pPr>
    <w:rPr>
      <w:rFonts w:ascii="Times New Roman" w:eastAsia="Times New Roman" w:hAnsi="Times New Roman" w:cs="Times New Roman"/>
      <w:sz w:val="20"/>
      <w:lang w:val="en-IE" w:eastAsia="en-IE"/>
    </w:rPr>
  </w:style>
  <w:style w:type="paragraph" w:customStyle="1" w:styleId="ACBulletLv3">
    <w:name w:val="AC Bullet Lv 3"/>
    <w:basedOn w:val="Normal"/>
    <w:uiPriority w:val="99"/>
    <w:rsid w:val="001F441E"/>
    <w:pPr>
      <w:numPr>
        <w:ilvl w:val="2"/>
        <w:numId w:val="12"/>
      </w:numPr>
      <w:adjustRightInd w:val="0"/>
      <w:spacing w:line="240" w:lineRule="auto"/>
      <w:jc w:val="both"/>
      <w:outlineLvl w:val="2"/>
    </w:pPr>
    <w:rPr>
      <w:rFonts w:ascii="Times New Roman" w:eastAsia="Times New Roman" w:hAnsi="Times New Roman" w:cs="Times New Roman"/>
      <w:sz w:val="20"/>
      <w:lang w:val="en-IE" w:eastAsia="en-IE"/>
    </w:rPr>
  </w:style>
  <w:style w:type="paragraph" w:customStyle="1" w:styleId="ACBulletLv4">
    <w:name w:val="AC Bullet Lv 4"/>
    <w:basedOn w:val="Normal"/>
    <w:uiPriority w:val="99"/>
    <w:rsid w:val="001F441E"/>
    <w:pPr>
      <w:numPr>
        <w:ilvl w:val="3"/>
        <w:numId w:val="12"/>
      </w:numPr>
      <w:adjustRightInd w:val="0"/>
      <w:spacing w:line="240" w:lineRule="auto"/>
      <w:jc w:val="both"/>
      <w:outlineLvl w:val="3"/>
    </w:pPr>
    <w:rPr>
      <w:rFonts w:ascii="Times New Roman" w:eastAsia="Times New Roman" w:hAnsi="Times New Roman" w:cs="Times New Roman"/>
      <w:sz w:val="20"/>
      <w:lang w:val="en-IE" w:eastAsia="en-IE"/>
    </w:rPr>
  </w:style>
  <w:style w:type="paragraph" w:customStyle="1" w:styleId="ACBulletLv5">
    <w:name w:val="AC Bullet Lv 5"/>
    <w:basedOn w:val="Normal"/>
    <w:uiPriority w:val="99"/>
    <w:rsid w:val="001F441E"/>
    <w:pPr>
      <w:numPr>
        <w:ilvl w:val="4"/>
        <w:numId w:val="12"/>
      </w:numPr>
      <w:adjustRightInd w:val="0"/>
      <w:spacing w:line="240" w:lineRule="auto"/>
      <w:jc w:val="both"/>
      <w:outlineLvl w:val="4"/>
    </w:pPr>
    <w:rPr>
      <w:rFonts w:ascii="Times New Roman" w:eastAsia="Times New Roman" w:hAnsi="Times New Roman" w:cs="Times New Roman"/>
      <w:sz w:val="20"/>
      <w:lang w:val="en-IE" w:eastAsia="en-IE"/>
    </w:rPr>
  </w:style>
  <w:style w:type="character" w:styleId="CommentReference">
    <w:name w:val="annotation reference"/>
    <w:basedOn w:val="DefaultParagraphFont"/>
    <w:uiPriority w:val="99"/>
    <w:semiHidden/>
    <w:unhideWhenUsed/>
    <w:rsid w:val="001F441E"/>
    <w:rPr>
      <w:sz w:val="16"/>
      <w:szCs w:val="16"/>
    </w:rPr>
  </w:style>
  <w:style w:type="paragraph" w:styleId="CommentText">
    <w:name w:val="annotation text"/>
    <w:basedOn w:val="Normal"/>
    <w:link w:val="CommentTextChar"/>
    <w:uiPriority w:val="99"/>
    <w:semiHidden/>
    <w:unhideWhenUsed/>
    <w:rsid w:val="001F441E"/>
    <w:pPr>
      <w:spacing w:line="240" w:lineRule="auto"/>
    </w:pPr>
    <w:rPr>
      <w:sz w:val="20"/>
      <w:szCs w:val="20"/>
    </w:rPr>
  </w:style>
  <w:style w:type="character" w:customStyle="1" w:styleId="CommentTextChar">
    <w:name w:val="Comment Text Char"/>
    <w:basedOn w:val="DefaultParagraphFont"/>
    <w:link w:val="CommentText"/>
    <w:uiPriority w:val="99"/>
    <w:semiHidden/>
    <w:rsid w:val="001F441E"/>
    <w:rPr>
      <w:sz w:val="20"/>
      <w:szCs w:val="20"/>
      <w:lang w:val="en-NZ"/>
    </w:rPr>
  </w:style>
  <w:style w:type="paragraph" w:styleId="CommentSubject">
    <w:name w:val="annotation subject"/>
    <w:basedOn w:val="CommentText"/>
    <w:next w:val="CommentText"/>
    <w:link w:val="CommentSubjectChar"/>
    <w:uiPriority w:val="99"/>
    <w:semiHidden/>
    <w:unhideWhenUsed/>
    <w:rsid w:val="001F441E"/>
    <w:rPr>
      <w:b/>
      <w:bCs/>
    </w:rPr>
  </w:style>
  <w:style w:type="character" w:customStyle="1" w:styleId="CommentSubjectChar">
    <w:name w:val="Comment Subject Char"/>
    <w:basedOn w:val="CommentTextChar"/>
    <w:link w:val="CommentSubject"/>
    <w:uiPriority w:val="99"/>
    <w:semiHidden/>
    <w:rsid w:val="001F441E"/>
    <w:rPr>
      <w:b/>
      <w:bCs/>
      <w:sz w:val="20"/>
      <w:szCs w:val="20"/>
      <w:lang w:val="en-NZ"/>
    </w:rPr>
  </w:style>
  <w:style w:type="paragraph" w:customStyle="1" w:styleId="ACBody2">
    <w:name w:val="AC Body 2"/>
    <w:basedOn w:val="Normal"/>
    <w:uiPriority w:val="99"/>
    <w:rsid w:val="001F441E"/>
    <w:pPr>
      <w:adjustRightInd w:val="0"/>
      <w:spacing w:line="240" w:lineRule="auto"/>
      <w:ind w:left="1440"/>
      <w:jc w:val="both"/>
    </w:pPr>
    <w:rPr>
      <w:rFonts w:ascii="Times New Roman" w:eastAsia="Times New Roman" w:hAnsi="Times New Roman" w:cs="Times New Roman"/>
      <w:sz w:val="20"/>
      <w:lang w:val="en-IE" w:eastAsia="en-IE"/>
    </w:rPr>
  </w:style>
  <w:style w:type="paragraph" w:styleId="FootnoteText">
    <w:name w:val="footnote text"/>
    <w:basedOn w:val="Normal"/>
    <w:link w:val="FootnoteTextChar"/>
    <w:uiPriority w:val="99"/>
    <w:unhideWhenUsed/>
    <w:rsid w:val="001F441E"/>
    <w:pPr>
      <w:spacing w:after="0" w:line="240" w:lineRule="auto"/>
    </w:pPr>
    <w:rPr>
      <w:sz w:val="20"/>
      <w:szCs w:val="20"/>
    </w:rPr>
  </w:style>
  <w:style w:type="character" w:customStyle="1" w:styleId="FootnoteTextChar">
    <w:name w:val="Footnote Text Char"/>
    <w:basedOn w:val="DefaultParagraphFont"/>
    <w:link w:val="FootnoteText"/>
    <w:uiPriority w:val="99"/>
    <w:rsid w:val="001F441E"/>
    <w:rPr>
      <w:sz w:val="20"/>
      <w:szCs w:val="20"/>
      <w:lang w:val="en-NZ"/>
    </w:rPr>
  </w:style>
  <w:style w:type="character" w:styleId="FootnoteReference">
    <w:name w:val="footnote reference"/>
    <w:basedOn w:val="DefaultParagraphFont"/>
    <w:uiPriority w:val="99"/>
    <w:unhideWhenUsed/>
    <w:rsid w:val="001F441E"/>
    <w:rPr>
      <w:vertAlign w:val="superscript"/>
    </w:rPr>
  </w:style>
  <w:style w:type="paragraph" w:customStyle="1" w:styleId="ACLevel1">
    <w:name w:val="AC Level 1"/>
    <w:basedOn w:val="Normal"/>
    <w:uiPriority w:val="99"/>
    <w:rsid w:val="001F441E"/>
    <w:pPr>
      <w:numPr>
        <w:numId w:val="18"/>
      </w:numPr>
      <w:adjustRightInd w:val="0"/>
      <w:spacing w:line="240" w:lineRule="auto"/>
      <w:jc w:val="both"/>
      <w:outlineLvl w:val="0"/>
    </w:pPr>
    <w:rPr>
      <w:rFonts w:ascii="Times New Roman" w:eastAsia="Times New Roman" w:hAnsi="Times New Roman" w:cs="Times New Roman"/>
      <w:sz w:val="20"/>
      <w:lang w:val="en-IE" w:eastAsia="en-IE"/>
    </w:rPr>
  </w:style>
  <w:style w:type="paragraph" w:customStyle="1" w:styleId="ACLevel2">
    <w:name w:val="AC Level 2"/>
    <w:basedOn w:val="ACBody2"/>
    <w:uiPriority w:val="99"/>
    <w:rsid w:val="001F441E"/>
    <w:pPr>
      <w:numPr>
        <w:ilvl w:val="1"/>
        <w:numId w:val="18"/>
      </w:numPr>
      <w:outlineLvl w:val="1"/>
    </w:pPr>
  </w:style>
  <w:style w:type="paragraph" w:customStyle="1" w:styleId="ACLevel3">
    <w:name w:val="AC Level 3"/>
    <w:basedOn w:val="Normal"/>
    <w:uiPriority w:val="99"/>
    <w:rsid w:val="001F441E"/>
    <w:pPr>
      <w:numPr>
        <w:ilvl w:val="2"/>
        <w:numId w:val="18"/>
      </w:numPr>
      <w:adjustRightInd w:val="0"/>
      <w:spacing w:line="240" w:lineRule="auto"/>
      <w:jc w:val="both"/>
      <w:outlineLvl w:val="2"/>
    </w:pPr>
    <w:rPr>
      <w:rFonts w:ascii="Times New Roman" w:eastAsia="Times New Roman" w:hAnsi="Times New Roman" w:cs="Times New Roman"/>
      <w:sz w:val="20"/>
      <w:lang w:val="en-IE" w:eastAsia="en-IE"/>
    </w:rPr>
  </w:style>
  <w:style w:type="paragraph" w:customStyle="1" w:styleId="ACLevel4">
    <w:name w:val="AC Level 4"/>
    <w:basedOn w:val="Normal"/>
    <w:uiPriority w:val="99"/>
    <w:rsid w:val="001F441E"/>
    <w:pPr>
      <w:numPr>
        <w:ilvl w:val="3"/>
        <w:numId w:val="18"/>
      </w:numPr>
      <w:adjustRightInd w:val="0"/>
      <w:spacing w:line="240" w:lineRule="auto"/>
      <w:jc w:val="both"/>
      <w:outlineLvl w:val="3"/>
    </w:pPr>
    <w:rPr>
      <w:rFonts w:ascii="Times New Roman" w:eastAsia="Times New Roman" w:hAnsi="Times New Roman" w:cs="Times New Roman"/>
      <w:sz w:val="20"/>
      <w:lang w:val="en-IE" w:eastAsia="en-IE"/>
    </w:rPr>
  </w:style>
  <w:style w:type="paragraph" w:customStyle="1" w:styleId="ACLevel5">
    <w:name w:val="AC Level 5"/>
    <w:basedOn w:val="Normal"/>
    <w:uiPriority w:val="99"/>
    <w:rsid w:val="001F441E"/>
    <w:pPr>
      <w:numPr>
        <w:ilvl w:val="4"/>
        <w:numId w:val="18"/>
      </w:numPr>
      <w:adjustRightInd w:val="0"/>
      <w:spacing w:line="240" w:lineRule="auto"/>
      <w:jc w:val="both"/>
      <w:outlineLvl w:val="4"/>
    </w:pPr>
    <w:rPr>
      <w:rFonts w:ascii="Times New Roman" w:eastAsia="Times New Roman" w:hAnsi="Times New Roman" w:cs="Times New Roman"/>
      <w:sz w:val="20"/>
      <w:lang w:val="en-IE" w:eastAsia="en-IE"/>
    </w:rPr>
  </w:style>
  <w:style w:type="paragraph" w:styleId="Revision">
    <w:name w:val="Revision"/>
    <w:hidden/>
    <w:uiPriority w:val="99"/>
    <w:semiHidden/>
    <w:rsid w:val="001F441E"/>
    <w:pPr>
      <w:spacing w:after="0" w:line="240" w:lineRule="auto"/>
    </w:pPr>
    <w:rPr>
      <w:lang w:val="en-NZ"/>
    </w:rPr>
  </w:style>
  <w:style w:type="paragraph" w:customStyle="1" w:styleId="Body">
    <w:name w:val="Body"/>
    <w:basedOn w:val="Normal"/>
    <w:link w:val="BodyChar"/>
    <w:uiPriority w:val="99"/>
    <w:qFormat/>
    <w:rsid w:val="00596075"/>
    <w:pPr>
      <w:adjustRightInd w:val="0"/>
      <w:spacing w:after="220" w:line="240" w:lineRule="auto"/>
      <w:jc w:val="both"/>
    </w:pPr>
    <w:rPr>
      <w:rFonts w:ascii="Times New Roman" w:eastAsia="Times New Roman" w:hAnsi="Times New Roman" w:cs="Times New Roman"/>
      <w:lang w:val="en-IE" w:eastAsia="en-IE"/>
    </w:rPr>
  </w:style>
  <w:style w:type="character" w:customStyle="1" w:styleId="ACLevel1asheadingtext">
    <w:name w:val="AC Level 1 as heading (text)"/>
    <w:basedOn w:val="DefaultParagraphFont"/>
    <w:uiPriority w:val="99"/>
    <w:rsid w:val="00596075"/>
    <w:rPr>
      <w:b/>
      <w:bCs/>
    </w:rPr>
  </w:style>
  <w:style w:type="character" w:customStyle="1" w:styleId="BodyChar">
    <w:name w:val="Body Char"/>
    <w:link w:val="Body"/>
    <w:uiPriority w:val="99"/>
    <w:locked/>
    <w:rsid w:val="00596075"/>
    <w:rPr>
      <w:rFonts w:ascii="Times New Roman" w:eastAsia="Times New Roman" w:hAnsi="Times New Roman" w:cs="Times New Roman"/>
      <w:lang w:val="en-IE" w:eastAsia="en-IE"/>
    </w:rPr>
  </w:style>
  <w:style w:type="paragraph" w:customStyle="1" w:styleId="ACSchLv1">
    <w:name w:val="AC Sch Lv 1"/>
    <w:basedOn w:val="Normal"/>
    <w:uiPriority w:val="99"/>
    <w:rsid w:val="00B65942"/>
    <w:pPr>
      <w:numPr>
        <w:numId w:val="20"/>
      </w:numPr>
      <w:adjustRightInd w:val="0"/>
      <w:spacing w:after="220" w:line="240" w:lineRule="auto"/>
      <w:jc w:val="both"/>
      <w:outlineLvl w:val="0"/>
    </w:pPr>
    <w:rPr>
      <w:rFonts w:ascii="Times New Roman" w:eastAsia="Times New Roman" w:hAnsi="Times New Roman" w:cs="Times New Roman"/>
      <w:lang w:val="en-IE" w:eastAsia="en-IE"/>
    </w:rPr>
  </w:style>
  <w:style w:type="paragraph" w:customStyle="1" w:styleId="ACSchLv2">
    <w:name w:val="AC Sch Lv 2"/>
    <w:basedOn w:val="ACBody2"/>
    <w:uiPriority w:val="99"/>
    <w:rsid w:val="00B65942"/>
    <w:pPr>
      <w:numPr>
        <w:ilvl w:val="1"/>
        <w:numId w:val="20"/>
      </w:numPr>
      <w:spacing w:after="220"/>
      <w:outlineLvl w:val="1"/>
    </w:pPr>
    <w:rPr>
      <w:sz w:val="22"/>
    </w:rPr>
  </w:style>
  <w:style w:type="paragraph" w:customStyle="1" w:styleId="ACSchLv3">
    <w:name w:val="AC Sch Lv 3"/>
    <w:basedOn w:val="Normal"/>
    <w:uiPriority w:val="99"/>
    <w:rsid w:val="00B65942"/>
    <w:pPr>
      <w:numPr>
        <w:ilvl w:val="2"/>
        <w:numId w:val="20"/>
      </w:numPr>
      <w:adjustRightInd w:val="0"/>
      <w:spacing w:after="220" w:line="240" w:lineRule="auto"/>
      <w:jc w:val="both"/>
      <w:outlineLvl w:val="2"/>
    </w:pPr>
    <w:rPr>
      <w:rFonts w:ascii="Times New Roman" w:eastAsia="Times New Roman" w:hAnsi="Times New Roman" w:cs="Times New Roman"/>
      <w:lang w:val="en-IE" w:eastAsia="en-IE"/>
    </w:rPr>
  </w:style>
  <w:style w:type="paragraph" w:customStyle="1" w:styleId="ACSchLv4">
    <w:name w:val="AC Sch Lv 4"/>
    <w:basedOn w:val="Normal"/>
    <w:uiPriority w:val="99"/>
    <w:rsid w:val="00B65942"/>
    <w:pPr>
      <w:numPr>
        <w:ilvl w:val="3"/>
        <w:numId w:val="20"/>
      </w:numPr>
      <w:adjustRightInd w:val="0"/>
      <w:spacing w:after="220" w:line="240" w:lineRule="auto"/>
      <w:jc w:val="both"/>
      <w:outlineLvl w:val="3"/>
    </w:pPr>
    <w:rPr>
      <w:rFonts w:ascii="Times New Roman" w:eastAsia="Times New Roman" w:hAnsi="Times New Roman" w:cs="Times New Roman"/>
      <w:lang w:val="en-IE" w:eastAsia="en-IE"/>
    </w:rPr>
  </w:style>
  <w:style w:type="paragraph" w:customStyle="1" w:styleId="ACSchLv5">
    <w:name w:val="AC Sch Lv 5"/>
    <w:basedOn w:val="Normal"/>
    <w:uiPriority w:val="99"/>
    <w:rsid w:val="00B65942"/>
    <w:pPr>
      <w:numPr>
        <w:ilvl w:val="4"/>
        <w:numId w:val="20"/>
      </w:numPr>
      <w:adjustRightInd w:val="0"/>
      <w:spacing w:after="220" w:line="240" w:lineRule="auto"/>
      <w:jc w:val="both"/>
      <w:outlineLvl w:val="4"/>
    </w:pPr>
    <w:rPr>
      <w:rFonts w:ascii="Times New Roman" w:eastAsia="Times New Roman" w:hAnsi="Times New Roman" w:cs="Times New Roman"/>
      <w:lang w:val="en-IE" w:eastAsia="en-IE"/>
    </w:rPr>
  </w:style>
  <w:style w:type="paragraph" w:customStyle="1" w:styleId="cq">
    <w:name w:val="cq"/>
    <w:basedOn w:val="Normal"/>
    <w:rsid w:val="00281A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g">
    <w:name w:val="ag"/>
    <w:basedOn w:val="DefaultParagraphFont"/>
    <w:rsid w:val="00281AFF"/>
  </w:style>
  <w:style w:type="paragraph" w:customStyle="1" w:styleId="cp">
    <w:name w:val="cp"/>
    <w:basedOn w:val="Normal"/>
    <w:rsid w:val="00281A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f">
    <w:name w:val="af"/>
    <w:basedOn w:val="DefaultParagraphFont"/>
    <w:rsid w:val="00281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97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rningstar.co.uk/uk/NS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reencore.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A6D40-CE56-4F00-9E96-5DC50EE2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Greencore Group PLC</Company>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Greencore Group plc</dc:creator>
  <cp:lastModifiedBy>Jolene Gacquin</cp:lastModifiedBy>
  <cp:revision>2</cp:revision>
  <cp:lastPrinted>2018-12-20T11:06:00Z</cp:lastPrinted>
  <dcterms:created xsi:type="dcterms:W3CDTF">2018-12-20T13:47:00Z</dcterms:created>
  <dcterms:modified xsi:type="dcterms:W3CDTF">2018-12-20T13:47:00Z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DocRef">
    <vt:lpwstr>AC#30150523.2</vt:lpwstr>
  </property>
  <property fmtid="{D5CDD505-2E9C-101B-9397-08002B2CF9AE}" pid="3" name="ACDocType">
    <vt:lpwstr>DOCUMENT</vt:lpwstr>
  </property>
  <property fmtid="{D5CDD505-2E9C-101B-9397-08002B2CF9AE}" pid="4" name="ACMatter">
    <vt:lpwstr>GR059/727/</vt:lpwstr>
  </property>
  <property fmtid="{D5CDD505-2E9C-101B-9397-08002B2CF9AE}" pid="5" name="Project">
    <vt:lpwstr/>
  </property>
</Properties>
</file>